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D3ED" w14:textId="77777777" w:rsidR="001E02C3" w:rsidRDefault="00602A9A">
      <w:pPr>
        <w:spacing w:after="0" w:line="240" w:lineRule="auto"/>
        <w:rPr>
          <w:b/>
          <w:color w:val="000000"/>
          <w:sz w:val="24"/>
          <w:szCs w:val="24"/>
        </w:rPr>
      </w:pPr>
      <w:bookmarkStart w:id="0" w:name="_GoBack"/>
      <w:bookmarkEnd w:id="0"/>
      <w:r>
        <w:rPr>
          <w:b/>
          <w:color w:val="000000"/>
          <w:sz w:val="24"/>
          <w:szCs w:val="24"/>
        </w:rPr>
        <w:t>Wölfe in Davos: Aktivisten protestieren gegen ISDS-„Konzerngerichtshöfe“</w:t>
      </w:r>
    </w:p>
    <w:p w14:paraId="69550875" w14:textId="77777777" w:rsidR="001E02C3" w:rsidRDefault="001E02C3">
      <w:pPr>
        <w:spacing w:after="0" w:line="240" w:lineRule="auto"/>
        <w:rPr>
          <w:b/>
          <w:i/>
          <w:color w:val="000000"/>
          <w:sz w:val="21"/>
          <w:szCs w:val="21"/>
        </w:rPr>
      </w:pPr>
    </w:p>
    <w:p w14:paraId="7E3256C7" w14:textId="77777777" w:rsidR="001E02C3" w:rsidRDefault="00602A9A">
      <w:pPr>
        <w:spacing w:after="0" w:line="240" w:lineRule="auto"/>
        <w:rPr>
          <w:color w:val="000000"/>
          <w:sz w:val="21"/>
          <w:szCs w:val="21"/>
        </w:rPr>
      </w:pPr>
      <w:r>
        <w:rPr>
          <w:b/>
          <w:i/>
          <w:color w:val="000000"/>
          <w:sz w:val="21"/>
          <w:szCs w:val="21"/>
        </w:rPr>
        <w:t>Davos, Schweiz | gesperrt bis 23. 1. 2019 | Stoppt die ISDS-Koalition</w:t>
      </w:r>
      <w:r>
        <w:rPr>
          <w:b/>
          <w:color w:val="000000"/>
          <w:sz w:val="21"/>
          <w:szCs w:val="21"/>
        </w:rPr>
        <w:br/>
      </w:r>
    </w:p>
    <w:p w14:paraId="6C380E2C" w14:textId="77777777" w:rsidR="001E02C3" w:rsidRDefault="00602A9A">
      <w:pPr>
        <w:spacing w:after="0" w:line="240" w:lineRule="auto"/>
        <w:rPr>
          <w:rFonts w:ascii="Times New Roman" w:eastAsia="Times New Roman" w:hAnsi="Times New Roman" w:cs="Times New Roman"/>
          <w:sz w:val="21"/>
          <w:szCs w:val="21"/>
        </w:rPr>
      </w:pPr>
      <w:r>
        <w:rPr>
          <w:color w:val="000000"/>
          <w:sz w:val="21"/>
          <w:szCs w:val="21"/>
        </w:rPr>
        <w:t>Als Konzernwölfe verkleidete AktivistInnen werden in die Straßen von Davos einfallen, um am Rande des Weltwirtschaftsforums (WEF) gegen die umstrittenen Bestimmungen der Investor-Staat-Streitbeilegung</w:t>
      </w:r>
      <w:r>
        <w:rPr>
          <w:i/>
          <w:color w:val="000000"/>
          <w:sz w:val="21"/>
          <w:szCs w:val="21"/>
        </w:rPr>
        <w:t xml:space="preserve"> (Investor State Dispute Settlement</w:t>
      </w:r>
      <w:r>
        <w:rPr>
          <w:color w:val="000000"/>
          <w:sz w:val="21"/>
          <w:szCs w:val="21"/>
        </w:rPr>
        <w:t xml:space="preserve"> - ISDS) zu protestie</w:t>
      </w:r>
      <w:r>
        <w:rPr>
          <w:color w:val="000000"/>
          <w:sz w:val="21"/>
          <w:szCs w:val="21"/>
        </w:rPr>
        <w:t>ren, die Konzernen das Recht einräumen, Regierungen zu verklagen. Die Aktion findet am 23. Januar um 13 Uhr sta</w:t>
      </w:r>
      <w:r>
        <w:rPr>
          <w:color w:val="000000"/>
        </w:rPr>
        <w:t>tt. (</w:t>
      </w:r>
      <w:r>
        <w:t xml:space="preserve">gegenüber dem </w:t>
      </w:r>
      <w:hyperlink r:id="rId10">
        <w:r>
          <w:rPr>
            <w:color w:val="1155CC"/>
            <w:u w:val="single"/>
          </w:rPr>
          <w:t>Leihbibliothek Davos</w:t>
        </w:r>
      </w:hyperlink>
      <w:r>
        <w:rPr>
          <w:color w:val="000000"/>
        </w:rPr>
        <w:t>)</w:t>
      </w:r>
      <w:r>
        <w:rPr>
          <w:color w:val="000000"/>
          <w:sz w:val="21"/>
          <w:szCs w:val="21"/>
        </w:rPr>
        <w:t>.</w:t>
      </w:r>
    </w:p>
    <w:p w14:paraId="3D848DD1" w14:textId="77777777" w:rsidR="001E02C3" w:rsidRDefault="001E02C3">
      <w:pPr>
        <w:spacing w:after="0" w:line="240" w:lineRule="auto"/>
        <w:rPr>
          <w:rFonts w:ascii="Times New Roman" w:eastAsia="Times New Roman" w:hAnsi="Times New Roman" w:cs="Times New Roman"/>
          <w:sz w:val="21"/>
          <w:szCs w:val="21"/>
        </w:rPr>
      </w:pPr>
    </w:p>
    <w:p w14:paraId="2141710E" w14:textId="77777777" w:rsidR="001E02C3" w:rsidRDefault="00602A9A">
      <w:pPr>
        <w:spacing w:after="0" w:line="240" w:lineRule="auto"/>
        <w:rPr>
          <w:color w:val="000000"/>
          <w:sz w:val="21"/>
          <w:szCs w:val="21"/>
        </w:rPr>
      </w:pPr>
      <w:r>
        <w:rPr>
          <w:color w:val="000000"/>
          <w:sz w:val="21"/>
          <w:szCs w:val="21"/>
        </w:rPr>
        <w:t>ISDS-Klauseln sind in einer Reihe von Handels- und Investitionsabkommen enthalten, u.a. in der Transpazifischen Partnerschaft (TPP) und im umfassenden Wirtschafts- und Handelsabkommen (CETA)</w:t>
      </w:r>
      <w:r>
        <w:rPr>
          <w:color w:val="000000"/>
          <w:sz w:val="21"/>
          <w:szCs w:val="21"/>
        </w:rPr>
        <w:t>, und ermöglichen multinationalen Unternehmen, Staaten vor internationalen Schiedsgerichten und unter Ausschluss der Öffentlichkeit auf Schadenersatz zu verklagen, sollten deren Regierungen Maßnahmen treffen, die ihrer Ansicht nach ihre Gewinne auf unfaire</w:t>
      </w:r>
      <w:r>
        <w:rPr>
          <w:color w:val="000000"/>
          <w:sz w:val="21"/>
          <w:szCs w:val="21"/>
        </w:rPr>
        <w:t xml:space="preserve"> Weise beeinträchtigen.</w:t>
      </w:r>
    </w:p>
    <w:p w14:paraId="669AEFAA" w14:textId="77777777" w:rsidR="001E02C3" w:rsidRDefault="001E02C3">
      <w:pPr>
        <w:spacing w:after="0" w:line="240" w:lineRule="auto"/>
        <w:rPr>
          <w:rFonts w:ascii="Times New Roman" w:eastAsia="Times New Roman" w:hAnsi="Times New Roman" w:cs="Times New Roman"/>
          <w:sz w:val="21"/>
          <w:szCs w:val="21"/>
        </w:rPr>
      </w:pPr>
    </w:p>
    <w:p w14:paraId="60E934D5" w14:textId="77777777" w:rsidR="001E02C3" w:rsidRDefault="00602A9A">
      <w:pPr>
        <w:spacing w:after="0" w:line="240" w:lineRule="auto"/>
        <w:rPr>
          <w:color w:val="000000"/>
          <w:sz w:val="21"/>
          <w:szCs w:val="21"/>
        </w:rPr>
      </w:pPr>
      <w:r>
        <w:rPr>
          <w:color w:val="000000"/>
          <w:sz w:val="21"/>
          <w:szCs w:val="21"/>
        </w:rPr>
        <w:t>Die Koalition “</w:t>
      </w:r>
      <w:hyperlink r:id="rId11">
        <w:r>
          <w:rPr>
            <w:color w:val="0000FF"/>
            <w:sz w:val="21"/>
            <w:szCs w:val="21"/>
            <w:u w:val="single"/>
          </w:rPr>
          <w:t>Stoppt ISDS</w:t>
        </w:r>
      </w:hyperlink>
      <w:r>
        <w:rPr>
          <w:color w:val="000000"/>
          <w:sz w:val="21"/>
          <w:szCs w:val="21"/>
        </w:rPr>
        <w:t>”, ein Bündnis aus über einhundert NGOs, zu denen</w:t>
      </w:r>
      <w:r>
        <w:rPr>
          <w:sz w:val="21"/>
          <w:szCs w:val="21"/>
        </w:rPr>
        <w:t xml:space="preserve"> </w:t>
      </w:r>
      <w:r>
        <w:rPr>
          <w:sz w:val="21"/>
          <w:szCs w:val="21"/>
        </w:rPr>
        <w:t xml:space="preserve">Greenpeace, ActionAid und die Internationale der Öffentlichen Dienste (PSI) </w:t>
      </w:r>
      <w:r>
        <w:rPr>
          <w:color w:val="000000"/>
          <w:sz w:val="21"/>
          <w:szCs w:val="21"/>
        </w:rPr>
        <w:t>zählen, organisierte die Aktion als Auftakt einer an die Europäische Union gerichteten Petition, um ISDS ein Ende zu bereiten.</w:t>
      </w:r>
    </w:p>
    <w:p w14:paraId="6D9CB4AE" w14:textId="77777777" w:rsidR="001E02C3" w:rsidRDefault="001E02C3">
      <w:pPr>
        <w:spacing w:after="0" w:line="240" w:lineRule="auto"/>
        <w:rPr>
          <w:rFonts w:ascii="Times New Roman" w:eastAsia="Times New Roman" w:hAnsi="Times New Roman" w:cs="Times New Roman"/>
          <w:sz w:val="21"/>
          <w:szCs w:val="21"/>
        </w:rPr>
      </w:pPr>
    </w:p>
    <w:p w14:paraId="2FCC673B" w14:textId="77777777" w:rsidR="001E02C3" w:rsidRDefault="00602A9A">
      <w:pPr>
        <w:spacing w:after="0" w:line="240" w:lineRule="auto"/>
        <w:rPr>
          <w:color w:val="000000"/>
          <w:sz w:val="21"/>
          <w:szCs w:val="21"/>
        </w:rPr>
      </w:pPr>
      <w:r>
        <w:rPr>
          <w:b/>
          <w:color w:val="000000"/>
          <w:sz w:val="21"/>
          <w:szCs w:val="21"/>
        </w:rPr>
        <w:t>Über vierzig der vom WEF als „Industriepartner“ geli</w:t>
      </w:r>
      <w:r>
        <w:rPr>
          <w:b/>
          <w:color w:val="000000"/>
          <w:sz w:val="21"/>
          <w:szCs w:val="21"/>
        </w:rPr>
        <w:t xml:space="preserve">steten Konzerne waren und sind in ISDS-Fälle verwickelt </w:t>
      </w:r>
      <w:r>
        <w:rPr>
          <w:color w:val="000000"/>
          <w:sz w:val="21"/>
          <w:szCs w:val="21"/>
        </w:rPr>
        <w:t>(</w:t>
      </w:r>
      <w:hyperlink w:anchor="30j0zll">
        <w:r>
          <w:rPr>
            <w:color w:val="0000FF"/>
            <w:sz w:val="21"/>
            <w:szCs w:val="21"/>
            <w:u w:val="single"/>
          </w:rPr>
          <w:t>siehe Anhang</w:t>
        </w:r>
      </w:hyperlink>
      <w:r>
        <w:rPr>
          <w:color w:val="000000"/>
          <w:sz w:val="21"/>
          <w:szCs w:val="21"/>
        </w:rPr>
        <w:t>), die häufig in der Absicht eingeleitet werden, eine fortschrittliche Politik zu unterwandern oder ganz zu verhindern; dazu gehören insbesondere Maßnahmen z</w:t>
      </w:r>
      <w:r>
        <w:rPr>
          <w:color w:val="000000"/>
          <w:sz w:val="21"/>
          <w:szCs w:val="21"/>
        </w:rPr>
        <w:t xml:space="preserve">um Schutz der Umwelt, für eine Anhebung des Mindestlohns oder im Bereich des öffentlichen Gesundheitswesens. </w:t>
      </w:r>
    </w:p>
    <w:p w14:paraId="4FA10B30" w14:textId="77777777" w:rsidR="001E02C3" w:rsidRDefault="001E02C3">
      <w:pPr>
        <w:spacing w:after="0" w:line="240" w:lineRule="auto"/>
        <w:rPr>
          <w:rFonts w:ascii="Times New Roman" w:eastAsia="Times New Roman" w:hAnsi="Times New Roman" w:cs="Times New Roman"/>
          <w:sz w:val="21"/>
          <w:szCs w:val="21"/>
        </w:rPr>
      </w:pPr>
    </w:p>
    <w:p w14:paraId="70371896" w14:textId="77777777" w:rsidR="001E02C3" w:rsidRDefault="00602A9A">
      <w:pPr>
        <w:spacing w:after="0" w:line="240" w:lineRule="auto"/>
        <w:rPr>
          <w:rFonts w:ascii="Times New Roman" w:eastAsia="Times New Roman" w:hAnsi="Times New Roman" w:cs="Times New Roman"/>
          <w:sz w:val="21"/>
          <w:szCs w:val="21"/>
        </w:rPr>
      </w:pPr>
      <w:r>
        <w:rPr>
          <w:color w:val="000000"/>
          <w:sz w:val="21"/>
          <w:szCs w:val="21"/>
        </w:rPr>
        <w:t xml:space="preserve">Hier einige </w:t>
      </w:r>
      <w:r>
        <w:rPr>
          <w:b/>
          <w:color w:val="000000"/>
          <w:sz w:val="21"/>
          <w:szCs w:val="21"/>
        </w:rPr>
        <w:t>Beispiele</w:t>
      </w:r>
      <w:r>
        <w:rPr>
          <w:color w:val="000000"/>
          <w:sz w:val="21"/>
          <w:szCs w:val="21"/>
        </w:rPr>
        <w:t>:</w:t>
      </w:r>
    </w:p>
    <w:p w14:paraId="0CB71EC4" w14:textId="77777777" w:rsidR="001E02C3" w:rsidRDefault="001E02C3">
      <w:pPr>
        <w:spacing w:after="0" w:line="240" w:lineRule="auto"/>
        <w:rPr>
          <w:rFonts w:ascii="Times New Roman" w:eastAsia="Times New Roman" w:hAnsi="Times New Roman" w:cs="Times New Roman"/>
          <w:sz w:val="21"/>
          <w:szCs w:val="21"/>
        </w:rPr>
      </w:pPr>
    </w:p>
    <w:p w14:paraId="68240ACF" w14:textId="77777777" w:rsidR="001E02C3" w:rsidRDefault="00602A9A">
      <w:pPr>
        <w:spacing w:after="0" w:line="240" w:lineRule="auto"/>
        <w:rPr>
          <w:color w:val="000000"/>
          <w:sz w:val="21"/>
          <w:szCs w:val="21"/>
        </w:rPr>
      </w:pPr>
      <w:r>
        <w:rPr>
          <w:color w:val="000000"/>
          <w:sz w:val="21"/>
          <w:szCs w:val="21"/>
        </w:rPr>
        <w:t xml:space="preserve">2005 </w:t>
      </w:r>
      <w:hyperlink r:id="rId12">
        <w:r>
          <w:rPr>
            <w:color w:val="1155CC"/>
            <w:sz w:val="21"/>
            <w:szCs w:val="21"/>
            <w:u w:val="single"/>
          </w:rPr>
          <w:t>verklagte</w:t>
        </w:r>
      </w:hyperlink>
      <w:r>
        <w:rPr>
          <w:color w:val="000000"/>
          <w:sz w:val="21"/>
          <w:szCs w:val="21"/>
        </w:rPr>
        <w:t xml:space="preserve"> </w:t>
      </w:r>
      <w:r>
        <w:rPr>
          <w:i/>
          <w:color w:val="000000"/>
          <w:sz w:val="21"/>
          <w:szCs w:val="21"/>
        </w:rPr>
        <w:t>Cargill</w:t>
      </w:r>
      <w:r>
        <w:rPr>
          <w:color w:val="000000"/>
          <w:sz w:val="21"/>
          <w:szCs w:val="21"/>
        </w:rPr>
        <w:t xml:space="preserve">, ein Stammgast in Davos, den mexikanischen Staat, nachdem die Regierung eine Steuer auf Maissirup mit hohem Fruchtzuckergehalt verhängt hatte, um dem Problem der Fettleibigkeit der Bewohner des Landes zu begegnen. </w:t>
      </w:r>
      <w:r>
        <w:rPr>
          <w:color w:val="000000"/>
          <w:sz w:val="21"/>
          <w:szCs w:val="21"/>
        </w:rPr>
        <w:t xml:space="preserve">Cargill nutzte die ISDS-Klausel des Nordamerikanischen Handelsabkommens Nafta und erleichterte den öffentlichen Haushalt Mexikos um über 70 Millionen US-Dollar an Schadenersatz. Beim WEF 2018 </w:t>
      </w:r>
      <w:hyperlink r:id="rId13">
        <w:r>
          <w:rPr>
            <w:color w:val="0000FF"/>
            <w:sz w:val="21"/>
            <w:szCs w:val="21"/>
            <w:u w:val="single"/>
          </w:rPr>
          <w:t>l</w:t>
        </w:r>
        <w:r>
          <w:rPr>
            <w:color w:val="0000FF"/>
            <w:sz w:val="21"/>
            <w:szCs w:val="21"/>
            <w:u w:val="single"/>
          </w:rPr>
          <w:t>ancierte</w:t>
        </w:r>
      </w:hyperlink>
      <w:r>
        <w:rPr>
          <w:color w:val="000000"/>
          <w:sz w:val="21"/>
          <w:szCs w:val="21"/>
        </w:rPr>
        <w:t xml:space="preserve"> Cargill ein Projekt zur sozialen Unternehmensverantwortung (CSR) und gelobte, „die sozialen Probleme mit der Kraft der Ernährung in Angriff zu nehmen.“</w:t>
      </w:r>
    </w:p>
    <w:p w14:paraId="49BF9D96" w14:textId="77777777" w:rsidR="001E02C3" w:rsidRDefault="001E02C3">
      <w:pPr>
        <w:spacing w:after="0" w:line="240" w:lineRule="auto"/>
        <w:rPr>
          <w:rFonts w:ascii="Times New Roman" w:eastAsia="Times New Roman" w:hAnsi="Times New Roman" w:cs="Times New Roman"/>
          <w:sz w:val="21"/>
          <w:szCs w:val="21"/>
        </w:rPr>
      </w:pPr>
    </w:p>
    <w:p w14:paraId="570D5D08" w14:textId="77777777" w:rsidR="001E02C3" w:rsidRDefault="00602A9A">
      <w:pPr>
        <w:spacing w:after="0" w:line="240" w:lineRule="auto"/>
        <w:rPr>
          <w:color w:val="000000"/>
          <w:sz w:val="21"/>
          <w:szCs w:val="21"/>
        </w:rPr>
      </w:pPr>
      <w:r>
        <w:rPr>
          <w:color w:val="000000"/>
          <w:sz w:val="21"/>
          <w:szCs w:val="21"/>
        </w:rPr>
        <w:t>2016</w:t>
      </w:r>
      <w:hyperlink r:id="rId14">
        <w:r>
          <w:rPr>
            <w:i/>
            <w:color w:val="1155CC"/>
            <w:sz w:val="21"/>
            <w:szCs w:val="21"/>
            <w:u w:val="single"/>
          </w:rPr>
          <w:t xml:space="preserve"> </w:t>
        </w:r>
      </w:hyperlink>
      <w:hyperlink r:id="rId15">
        <w:r>
          <w:rPr>
            <w:color w:val="1155CC"/>
            <w:sz w:val="21"/>
            <w:szCs w:val="21"/>
            <w:u w:val="single"/>
          </w:rPr>
          <w:t xml:space="preserve">drohte </w:t>
        </w:r>
      </w:hyperlink>
      <w:r>
        <w:rPr>
          <w:i/>
          <w:color w:val="000000"/>
          <w:sz w:val="21"/>
          <w:szCs w:val="21"/>
        </w:rPr>
        <w:t>Novartis</w:t>
      </w:r>
      <w:r>
        <w:rPr>
          <w:color w:val="000000"/>
          <w:sz w:val="21"/>
          <w:szCs w:val="21"/>
        </w:rPr>
        <w:t xml:space="preserve"> der kolumbianischen Regierung mit einer ISDS-Klage, um sie daran zu hindern, ein lebensrettendes Medikament zur Behandlung von Leukämie durch Zwangslizenzierung leichter zugänglich zu machen. Das Medikament, das Novartis Einnahmen im Wert von über</w:t>
      </w:r>
      <w:r>
        <w:rPr>
          <w:color w:val="000000"/>
          <w:sz w:val="21"/>
          <w:szCs w:val="21"/>
        </w:rPr>
        <w:t xml:space="preserve"> 40 Milliarden Euro beschert hat, wurde für $15.000 pro Patient pro Jahr verkauft; das ist doppelt so hoch wie das Durchschnittseinkommen in Kolumbien.</w:t>
      </w:r>
    </w:p>
    <w:p w14:paraId="36B6D812" w14:textId="77777777" w:rsidR="001E02C3" w:rsidRDefault="001E02C3">
      <w:pPr>
        <w:spacing w:after="0" w:line="240" w:lineRule="auto"/>
        <w:rPr>
          <w:rFonts w:ascii="Times New Roman" w:eastAsia="Times New Roman" w:hAnsi="Times New Roman" w:cs="Times New Roman"/>
          <w:sz w:val="21"/>
          <w:szCs w:val="21"/>
        </w:rPr>
      </w:pPr>
    </w:p>
    <w:p w14:paraId="1F8BEE0D" w14:textId="77777777" w:rsidR="001E02C3" w:rsidRDefault="00602A9A">
      <w:pPr>
        <w:spacing w:after="0" w:line="240" w:lineRule="auto"/>
        <w:rPr>
          <w:color w:val="000000"/>
          <w:sz w:val="21"/>
          <w:szCs w:val="21"/>
        </w:rPr>
      </w:pPr>
      <w:r>
        <w:rPr>
          <w:color w:val="000000"/>
          <w:sz w:val="21"/>
          <w:szCs w:val="21"/>
        </w:rPr>
        <w:t xml:space="preserve">2008 verklagte </w:t>
      </w:r>
      <w:r>
        <w:rPr>
          <w:i/>
          <w:color w:val="000000"/>
          <w:sz w:val="21"/>
          <w:szCs w:val="21"/>
        </w:rPr>
        <w:t>Dow Chemical</w:t>
      </w:r>
      <w:r>
        <w:rPr>
          <w:color w:val="000000"/>
          <w:sz w:val="21"/>
          <w:szCs w:val="21"/>
        </w:rPr>
        <w:t xml:space="preserve"> die kanadische Regierung, nachdem Quebec die Herstellung und den Verkauf sc</w:t>
      </w:r>
      <w:r>
        <w:rPr>
          <w:color w:val="000000"/>
          <w:sz w:val="21"/>
          <w:szCs w:val="21"/>
        </w:rPr>
        <w:t xml:space="preserve">hädlicher Pestizide verboten hatte. </w:t>
      </w:r>
      <w:r>
        <w:rPr>
          <w:i/>
          <w:color w:val="000000"/>
          <w:sz w:val="21"/>
          <w:szCs w:val="21"/>
        </w:rPr>
        <w:t>Dow AgroSciences</w:t>
      </w:r>
      <w:r>
        <w:rPr>
          <w:color w:val="000000"/>
          <w:sz w:val="21"/>
          <w:szCs w:val="21"/>
        </w:rPr>
        <w:t xml:space="preserve"> bezeichnete den anschließenden Vergleich als Sieg, während die </w:t>
      </w:r>
      <w:hyperlink r:id="rId16">
        <w:r>
          <w:rPr>
            <w:color w:val="1155CC"/>
            <w:sz w:val="21"/>
            <w:szCs w:val="21"/>
            <w:u w:val="single"/>
          </w:rPr>
          <w:t>Kommentatoren darauf hinwiesen</w:t>
        </w:r>
      </w:hyperlink>
      <w:r>
        <w:rPr>
          <w:color w:val="000000"/>
          <w:sz w:val="21"/>
          <w:szCs w:val="21"/>
        </w:rPr>
        <w:t>, dass der Fall einschüchternde Wirku</w:t>
      </w:r>
      <w:r>
        <w:rPr>
          <w:color w:val="000000"/>
          <w:sz w:val="21"/>
          <w:szCs w:val="21"/>
        </w:rPr>
        <w:t>ng auf andere Regierungen haben dürfte, ihre eigenen Pestizidverbote auf den Weg zu bringen.</w:t>
      </w:r>
    </w:p>
    <w:p w14:paraId="56383573" w14:textId="77777777" w:rsidR="001E02C3" w:rsidRDefault="001E02C3">
      <w:pPr>
        <w:spacing w:after="0" w:line="240" w:lineRule="auto"/>
        <w:rPr>
          <w:rFonts w:ascii="Times New Roman" w:eastAsia="Times New Roman" w:hAnsi="Times New Roman" w:cs="Times New Roman"/>
          <w:sz w:val="21"/>
          <w:szCs w:val="21"/>
        </w:rPr>
      </w:pPr>
    </w:p>
    <w:p w14:paraId="4567569E" w14:textId="77777777" w:rsidR="001E02C3" w:rsidRDefault="00602A9A">
      <w:pPr>
        <w:spacing w:after="0" w:line="240" w:lineRule="auto"/>
        <w:rPr>
          <w:rFonts w:ascii="Times New Roman" w:eastAsia="Times New Roman" w:hAnsi="Times New Roman" w:cs="Times New Roman"/>
          <w:sz w:val="21"/>
          <w:szCs w:val="21"/>
        </w:rPr>
      </w:pPr>
      <w:r>
        <w:rPr>
          <w:b/>
          <w:color w:val="000000"/>
          <w:sz w:val="21"/>
          <w:szCs w:val="21"/>
        </w:rPr>
        <w:t xml:space="preserve">Alex Scrivener, der Sprecher der Koalition: </w:t>
      </w:r>
    </w:p>
    <w:p w14:paraId="2872BD12" w14:textId="77777777" w:rsidR="001E02C3" w:rsidRDefault="00602A9A">
      <w:pPr>
        <w:spacing w:after="0" w:line="240" w:lineRule="auto"/>
        <w:rPr>
          <w:i/>
          <w:color w:val="000000"/>
          <w:sz w:val="21"/>
          <w:szCs w:val="21"/>
        </w:rPr>
      </w:pPr>
      <w:r>
        <w:rPr>
          <w:i/>
          <w:color w:val="000000"/>
          <w:sz w:val="21"/>
          <w:szCs w:val="21"/>
        </w:rPr>
        <w:t>„Hier in Davos sind die CEOs zwar darum bemüht, sich gegenüber den Politikern als eine Kraft für das Gute zu präsenti</w:t>
      </w:r>
      <w:r>
        <w:rPr>
          <w:i/>
          <w:color w:val="000000"/>
          <w:sz w:val="21"/>
          <w:szCs w:val="21"/>
        </w:rPr>
        <w:t>eren, in Wirklichkeit verklagen aber viele von ihnen die Regierungen, um eine progressive Politik zu verhindern, die wir alle dringend brauchen. Das ist die reinste Scheinheiligkeit. ISDS ist eine massive Bedrohung für die Demokratie, die Menschenrechte un</w:t>
      </w:r>
      <w:r>
        <w:rPr>
          <w:i/>
          <w:color w:val="000000"/>
          <w:sz w:val="21"/>
          <w:szCs w:val="21"/>
        </w:rPr>
        <w:t>d die Umwelt. Wir brauchen führende EU-Politiker, die in Davos für ein Aus der Investor-Staat-Streitbeilegung eintreten und sich stattdessen darauf konzentrieren, Rechtsmittel für die Millionen von Menschen auf der ganzen Welt zu schaffen, die Opfer von Me</w:t>
      </w:r>
      <w:r>
        <w:rPr>
          <w:i/>
          <w:color w:val="000000"/>
          <w:sz w:val="21"/>
          <w:szCs w:val="21"/>
        </w:rPr>
        <w:t>nschenrechtsverletzungen durch die Konzerne sind.“</w:t>
      </w:r>
    </w:p>
    <w:p w14:paraId="54CC34ED" w14:textId="77777777" w:rsidR="001E02C3" w:rsidRDefault="001E02C3">
      <w:pPr>
        <w:spacing w:after="0" w:line="240" w:lineRule="auto"/>
        <w:rPr>
          <w:rFonts w:ascii="Times New Roman" w:eastAsia="Times New Roman" w:hAnsi="Times New Roman" w:cs="Times New Roman"/>
          <w:sz w:val="21"/>
          <w:szCs w:val="21"/>
        </w:rPr>
      </w:pPr>
    </w:p>
    <w:p w14:paraId="39175CB0" w14:textId="77777777" w:rsidR="001E02C3" w:rsidRDefault="00602A9A">
      <w:pPr>
        <w:spacing w:after="0" w:line="240" w:lineRule="auto"/>
        <w:rPr>
          <w:rFonts w:ascii="Times New Roman" w:eastAsia="Times New Roman" w:hAnsi="Times New Roman" w:cs="Times New Roman"/>
          <w:sz w:val="21"/>
          <w:szCs w:val="21"/>
        </w:rPr>
      </w:pPr>
      <w:r>
        <w:rPr>
          <w:b/>
          <w:color w:val="000000"/>
          <w:sz w:val="21"/>
          <w:szCs w:val="21"/>
        </w:rPr>
        <w:t>Rosa Pavanelli, Generalsekretärin der Internationale der Öffentlichen Dienste (Mitglied der Koalition):</w:t>
      </w:r>
    </w:p>
    <w:p w14:paraId="504B97B0" w14:textId="77777777" w:rsidR="001E02C3" w:rsidRDefault="00602A9A">
      <w:pPr>
        <w:spacing w:after="0"/>
        <w:rPr>
          <w:i/>
          <w:sz w:val="21"/>
          <w:szCs w:val="21"/>
        </w:rPr>
      </w:pPr>
      <w:r>
        <w:rPr>
          <w:i/>
          <w:sz w:val="21"/>
          <w:szCs w:val="21"/>
        </w:rPr>
        <w:t>„In einer Welt, die wirklich kritischen Herausforderungen gegenübersteht, wie Klimawandel und zunehm</w:t>
      </w:r>
      <w:r>
        <w:rPr>
          <w:i/>
          <w:sz w:val="21"/>
          <w:szCs w:val="21"/>
        </w:rPr>
        <w:t>ende Ungleichheit, sollten multinationale Konzerne nicht die Möglichkeit haben, die nationale Souveränität unabhängiger Länder auszuhebeln. Niemand sollte das Recht haben, Regierungen aufgrund von virtuellen nicht-realisierten Profiten zu verklagen. Wir mü</w:t>
      </w:r>
      <w:r>
        <w:rPr>
          <w:i/>
          <w:sz w:val="21"/>
          <w:szCs w:val="21"/>
        </w:rPr>
        <w:t>ssen ISDS stoppen und den Menschen ermöglichen, Konzerne mittels eines</w:t>
      </w:r>
      <w:hyperlink r:id="rId17">
        <w:r>
          <w:rPr>
            <w:i/>
            <w:sz w:val="21"/>
            <w:szCs w:val="21"/>
          </w:rPr>
          <w:t xml:space="preserve"> </w:t>
        </w:r>
      </w:hyperlink>
      <w:hyperlink r:id="rId18">
        <w:r>
          <w:rPr>
            <w:i/>
            <w:color w:val="1155CC"/>
            <w:sz w:val="21"/>
            <w:szCs w:val="21"/>
            <w:u w:val="single"/>
          </w:rPr>
          <w:t>verbindlichen UN-Vertrag</w:t>
        </w:r>
      </w:hyperlink>
      <w:r>
        <w:rPr>
          <w:i/>
          <w:color w:val="1155CC"/>
          <w:sz w:val="21"/>
          <w:szCs w:val="21"/>
          <w:u w:val="single"/>
        </w:rPr>
        <w:t>s</w:t>
      </w:r>
      <w:r>
        <w:rPr>
          <w:i/>
          <w:sz w:val="21"/>
          <w:szCs w:val="21"/>
        </w:rPr>
        <w:t xml:space="preserve"> über transnationale Konzernen und Menschenrechte zur Rechenschaft zu ziehen.“</w:t>
      </w:r>
    </w:p>
    <w:p w14:paraId="7F072D46" w14:textId="77777777" w:rsidR="001E02C3" w:rsidRDefault="001E02C3">
      <w:pPr>
        <w:spacing w:after="0" w:line="240" w:lineRule="auto"/>
        <w:rPr>
          <w:i/>
          <w:sz w:val="21"/>
          <w:szCs w:val="21"/>
        </w:rPr>
      </w:pPr>
    </w:p>
    <w:p w14:paraId="5160DDAD" w14:textId="77777777" w:rsidR="001E02C3" w:rsidRDefault="00602A9A">
      <w:pPr>
        <w:spacing w:after="0" w:line="240" w:lineRule="auto"/>
        <w:rPr>
          <w:rFonts w:ascii="Times New Roman" w:eastAsia="Times New Roman" w:hAnsi="Times New Roman" w:cs="Times New Roman"/>
          <w:sz w:val="24"/>
          <w:szCs w:val="24"/>
        </w:rPr>
      </w:pPr>
      <w:r>
        <w:rPr>
          <w:b/>
          <w:color w:val="000000"/>
          <w:sz w:val="24"/>
          <w:szCs w:val="24"/>
        </w:rPr>
        <w:t>Hintergrundinformation zur Kampagne gegen ISDS und für die Rechenschaftspflicht der Unternehmen</w:t>
      </w:r>
    </w:p>
    <w:p w14:paraId="0C250A72" w14:textId="77777777" w:rsidR="001E02C3" w:rsidRDefault="001E02C3">
      <w:pPr>
        <w:spacing w:after="0" w:line="240" w:lineRule="auto"/>
        <w:rPr>
          <w:rFonts w:ascii="Times New Roman" w:eastAsia="Times New Roman" w:hAnsi="Times New Roman" w:cs="Times New Roman"/>
          <w:sz w:val="21"/>
          <w:szCs w:val="21"/>
        </w:rPr>
      </w:pPr>
    </w:p>
    <w:p w14:paraId="040E6DAB" w14:textId="77777777" w:rsidR="001E02C3" w:rsidRDefault="00602A9A">
      <w:pPr>
        <w:spacing w:after="0" w:line="240" w:lineRule="auto"/>
        <w:rPr>
          <w:color w:val="000000"/>
          <w:sz w:val="21"/>
          <w:szCs w:val="21"/>
        </w:rPr>
      </w:pPr>
      <w:r>
        <w:rPr>
          <w:color w:val="000000"/>
          <w:sz w:val="21"/>
          <w:szCs w:val="21"/>
        </w:rPr>
        <w:t xml:space="preserve">Wir sind ein Bündnis, dem über 100 Organisationen, Gewerkschaften und soziale Bewegungen angehören und das dafür eintritt, dass Unternehmen Rechenschaftsregeln unterworfen werden und die Investor-Staat-Streitbeilegung, die ein einseitiges, ungerechtes und </w:t>
      </w:r>
      <w:r>
        <w:rPr>
          <w:color w:val="000000"/>
          <w:sz w:val="21"/>
          <w:szCs w:val="21"/>
        </w:rPr>
        <w:t xml:space="preserve">paralleles Justizsystem für Konzerne darstellt, abgeschafft wird. </w:t>
      </w:r>
    </w:p>
    <w:p w14:paraId="3891D9B7" w14:textId="77777777" w:rsidR="001E02C3" w:rsidRDefault="001E02C3">
      <w:pPr>
        <w:spacing w:after="0" w:line="240" w:lineRule="auto"/>
        <w:rPr>
          <w:rFonts w:ascii="Times New Roman" w:eastAsia="Times New Roman" w:hAnsi="Times New Roman" w:cs="Times New Roman"/>
          <w:sz w:val="21"/>
          <w:szCs w:val="21"/>
        </w:rPr>
      </w:pPr>
    </w:p>
    <w:p w14:paraId="4E5A1BD8" w14:textId="77777777" w:rsidR="001E02C3" w:rsidRDefault="00602A9A">
      <w:pPr>
        <w:spacing w:after="0" w:line="240" w:lineRule="auto"/>
        <w:rPr>
          <w:color w:val="000000"/>
          <w:sz w:val="21"/>
          <w:szCs w:val="21"/>
        </w:rPr>
      </w:pPr>
      <w:r>
        <w:rPr>
          <w:color w:val="000000"/>
          <w:sz w:val="21"/>
          <w:szCs w:val="21"/>
        </w:rPr>
        <w:t>Am 22. Januar 2019 lanciert die Koalition eine europäische, 16 EU-Mitgliedstaaten umfassende Petition, in der die EU und die europäischen Regierungen aufgefordert werden, den Privilegien der Konzerne ein Ende zu setzen, indem sie sich aus bestehenden Hande</w:t>
      </w:r>
      <w:r>
        <w:rPr>
          <w:color w:val="000000"/>
          <w:sz w:val="21"/>
          <w:szCs w:val="21"/>
        </w:rPr>
        <w:t>ls- und Investitionsabkommen mit ISDS-Klauseln zurückziehen und sie bei künftigen Abkommen ausschließen.</w:t>
      </w:r>
    </w:p>
    <w:p w14:paraId="71EB098E" w14:textId="77777777" w:rsidR="001E02C3" w:rsidRDefault="001E02C3">
      <w:pPr>
        <w:spacing w:after="0" w:line="240" w:lineRule="auto"/>
        <w:rPr>
          <w:color w:val="000000"/>
          <w:sz w:val="21"/>
          <w:szCs w:val="21"/>
        </w:rPr>
      </w:pPr>
    </w:p>
    <w:p w14:paraId="60DA6F7D" w14:textId="77777777" w:rsidR="001E02C3" w:rsidRDefault="00602A9A">
      <w:pPr>
        <w:spacing w:after="0" w:line="240" w:lineRule="auto"/>
        <w:rPr>
          <w:color w:val="000000"/>
          <w:sz w:val="21"/>
          <w:szCs w:val="21"/>
        </w:rPr>
      </w:pPr>
      <w:r>
        <w:rPr>
          <w:color w:val="000000"/>
          <w:sz w:val="21"/>
          <w:szCs w:val="21"/>
        </w:rPr>
        <w:t>Die Kampagne ruft die EU und die Mitgliedsstaaten ferner dazu auf, das Ziel eines verbindlichen UN-Vertrags zu multinationalen Unternehmen sowie natio</w:t>
      </w:r>
      <w:r>
        <w:rPr>
          <w:color w:val="000000"/>
          <w:sz w:val="21"/>
          <w:szCs w:val="21"/>
        </w:rPr>
        <w:t>nale Gesetzgebungen zu unterstützen, mit denen transnationale Konzerne für Menschenrechtsverletzungen zur Verantwortung gezogen werden können.</w:t>
      </w:r>
    </w:p>
    <w:p w14:paraId="36F4059F" w14:textId="77777777" w:rsidR="001E02C3" w:rsidRDefault="001E02C3">
      <w:pPr>
        <w:spacing w:after="0" w:line="240" w:lineRule="auto"/>
        <w:rPr>
          <w:rFonts w:ascii="Times New Roman" w:eastAsia="Times New Roman" w:hAnsi="Times New Roman" w:cs="Times New Roman"/>
          <w:sz w:val="21"/>
          <w:szCs w:val="21"/>
        </w:rPr>
      </w:pPr>
    </w:p>
    <w:p w14:paraId="4A887E3A" w14:textId="77777777" w:rsidR="001E02C3" w:rsidRDefault="00602A9A">
      <w:pPr>
        <w:spacing w:after="0" w:line="240" w:lineRule="auto"/>
        <w:rPr>
          <w:rFonts w:ascii="Times New Roman" w:eastAsia="Times New Roman" w:hAnsi="Times New Roman" w:cs="Times New Roman"/>
          <w:sz w:val="21"/>
          <w:szCs w:val="21"/>
        </w:rPr>
      </w:pPr>
      <w:r>
        <w:pict w14:anchorId="4FF01309">
          <v:rect id="_x0000_i1025" style="width:0;height:1.5pt" o:hralign="center" o:hrstd="t" o:hr="t" fillcolor="#a0a0a0" stroked="f"/>
        </w:pict>
      </w:r>
    </w:p>
    <w:p w14:paraId="715F4C43" w14:textId="77777777" w:rsidR="001E02C3" w:rsidRDefault="001E02C3">
      <w:pPr>
        <w:spacing w:after="0" w:line="240" w:lineRule="auto"/>
        <w:rPr>
          <w:rFonts w:ascii="Times New Roman" w:eastAsia="Times New Roman" w:hAnsi="Times New Roman" w:cs="Times New Roman"/>
          <w:sz w:val="21"/>
          <w:szCs w:val="21"/>
        </w:rPr>
      </w:pPr>
    </w:p>
    <w:p w14:paraId="6FFD9455" w14:textId="77777777" w:rsidR="001E02C3" w:rsidRDefault="00602A9A">
      <w:pPr>
        <w:spacing w:after="0" w:line="240" w:lineRule="auto"/>
        <w:rPr>
          <w:rFonts w:ascii="Times New Roman" w:eastAsia="Times New Roman" w:hAnsi="Times New Roman" w:cs="Times New Roman"/>
          <w:sz w:val="24"/>
          <w:szCs w:val="24"/>
        </w:rPr>
      </w:pPr>
      <w:r>
        <w:rPr>
          <w:b/>
          <w:color w:val="000000"/>
          <w:sz w:val="24"/>
          <w:szCs w:val="24"/>
        </w:rPr>
        <w:t>ISDS – DIE WICHTIGSTEN ASPEKTE</w:t>
      </w:r>
    </w:p>
    <w:p w14:paraId="6E307397" w14:textId="77777777" w:rsidR="001E02C3" w:rsidRDefault="001E02C3">
      <w:pPr>
        <w:spacing w:after="0" w:line="240" w:lineRule="auto"/>
        <w:rPr>
          <w:rFonts w:ascii="Times New Roman" w:eastAsia="Times New Roman" w:hAnsi="Times New Roman" w:cs="Times New Roman"/>
          <w:sz w:val="21"/>
          <w:szCs w:val="21"/>
        </w:rPr>
      </w:pPr>
    </w:p>
    <w:p w14:paraId="53CF6BA7" w14:textId="77777777" w:rsidR="001E02C3" w:rsidRDefault="00602A9A">
      <w:pPr>
        <w:numPr>
          <w:ilvl w:val="0"/>
          <w:numId w:val="1"/>
        </w:numPr>
        <w:spacing w:after="0" w:line="240" w:lineRule="auto"/>
        <w:rPr>
          <w:color w:val="000000"/>
          <w:sz w:val="21"/>
          <w:szCs w:val="21"/>
        </w:rPr>
      </w:pPr>
      <w:r>
        <w:rPr>
          <w:color w:val="000000"/>
          <w:sz w:val="21"/>
          <w:szCs w:val="21"/>
        </w:rPr>
        <w:t>ISDS-Fälle führten bislang zu Auszahlungen aus den öffentlichen Haushalten an</w:t>
      </w:r>
      <w:r>
        <w:rPr>
          <w:color w:val="000000"/>
          <w:sz w:val="21"/>
          <w:szCs w:val="21"/>
        </w:rPr>
        <w:t xml:space="preserve"> private Investoren in der Höhe von über 50 Milliarden US-Dollar – dieser Betrag übersteigt das BIP der meisten Länder.</w:t>
      </w:r>
    </w:p>
    <w:p w14:paraId="5761D2FD" w14:textId="77777777" w:rsidR="001E02C3" w:rsidRDefault="00602A9A">
      <w:pPr>
        <w:numPr>
          <w:ilvl w:val="0"/>
          <w:numId w:val="1"/>
        </w:numPr>
        <w:spacing w:after="0" w:line="240" w:lineRule="auto"/>
        <w:rPr>
          <w:color w:val="000000"/>
          <w:sz w:val="21"/>
          <w:szCs w:val="21"/>
        </w:rPr>
      </w:pPr>
      <w:r>
        <w:rPr>
          <w:color w:val="000000"/>
          <w:sz w:val="21"/>
          <w:szCs w:val="21"/>
        </w:rPr>
        <w:t xml:space="preserve">In den letzten 20 Jahren ist die Zahl der bekannten Fälle </w:t>
      </w:r>
      <w:hyperlink r:id="rId19">
        <w:r>
          <w:rPr>
            <w:color w:val="1155CC"/>
            <w:sz w:val="21"/>
            <w:szCs w:val="21"/>
            <w:u w:val="single"/>
          </w:rPr>
          <w:t xml:space="preserve"> explosionsartig gestiegen</w:t>
        </w:r>
      </w:hyperlink>
      <w:r>
        <w:rPr>
          <w:color w:val="000000"/>
          <w:sz w:val="21"/>
          <w:szCs w:val="21"/>
        </w:rPr>
        <w:t xml:space="preserve"> – von weniger als 10 im Jahr 1994 auf 608 im Jahr 2014, wobei 80% der Klagen von globalen Konzernen mit Sitz in den USA und in Europa ausgingen.</w:t>
      </w:r>
    </w:p>
    <w:p w14:paraId="5EE80E46" w14:textId="77777777" w:rsidR="001E02C3" w:rsidRDefault="00602A9A">
      <w:pPr>
        <w:numPr>
          <w:ilvl w:val="0"/>
          <w:numId w:val="1"/>
        </w:numPr>
        <w:spacing w:after="0" w:line="240" w:lineRule="auto"/>
        <w:rPr>
          <w:color w:val="000000"/>
          <w:sz w:val="21"/>
          <w:szCs w:val="21"/>
        </w:rPr>
      </w:pPr>
      <w:r>
        <w:rPr>
          <w:color w:val="000000"/>
          <w:sz w:val="21"/>
          <w:szCs w:val="21"/>
        </w:rPr>
        <w:t xml:space="preserve">Unternehmen mit Sitz in den USA klagen mit Abstand am häufigsten – sie führen </w:t>
      </w:r>
      <w:r>
        <w:rPr>
          <w:color w:val="000000"/>
          <w:sz w:val="21"/>
          <w:szCs w:val="21"/>
        </w:rPr>
        <w:t xml:space="preserve">doppelt so viele Verfahren als die zweithäufigsten Kläger. </w:t>
      </w:r>
      <w:hyperlink r:id="rId20">
        <w:r>
          <w:rPr>
            <w:color w:val="1155CC"/>
            <w:sz w:val="21"/>
            <w:szCs w:val="21"/>
            <w:u w:val="single"/>
          </w:rPr>
          <w:t>Die meisten Fälle gehen zugunsten der Investoren aus.</w:t>
        </w:r>
      </w:hyperlink>
      <w:r>
        <w:rPr>
          <w:color w:val="000000"/>
          <w:sz w:val="21"/>
          <w:szCs w:val="21"/>
        </w:rPr>
        <w:t xml:space="preserve"> </w:t>
      </w:r>
    </w:p>
    <w:p w14:paraId="07786F85" w14:textId="77777777" w:rsidR="001E02C3" w:rsidRDefault="00602A9A">
      <w:pPr>
        <w:numPr>
          <w:ilvl w:val="0"/>
          <w:numId w:val="1"/>
        </w:numPr>
        <w:spacing w:after="0" w:line="240" w:lineRule="auto"/>
        <w:rPr>
          <w:color w:val="000000"/>
          <w:sz w:val="21"/>
          <w:szCs w:val="21"/>
        </w:rPr>
      </w:pPr>
      <w:r>
        <w:rPr>
          <w:color w:val="000000"/>
          <w:sz w:val="21"/>
          <w:szCs w:val="21"/>
        </w:rPr>
        <w:t xml:space="preserve">Experten, unter ihnen der Oberste Richter Australiens, haben </w:t>
      </w:r>
      <w:hyperlink r:id="rId21">
        <w:r>
          <w:rPr>
            <w:color w:val="1155CC"/>
            <w:sz w:val="21"/>
            <w:szCs w:val="21"/>
            <w:u w:val="single"/>
          </w:rPr>
          <w:t>ernsthafte Bedenken geäußert</w:t>
        </w:r>
      </w:hyperlink>
      <w:r>
        <w:rPr>
          <w:color w:val="000000"/>
          <w:sz w:val="21"/>
          <w:szCs w:val="21"/>
        </w:rPr>
        <w:t>; sie sind der Ansicht, dass das ISDS weder unabhängig noch unparteiisch is</w:t>
      </w:r>
      <w:r>
        <w:rPr>
          <w:color w:val="000000"/>
          <w:sz w:val="21"/>
          <w:szCs w:val="21"/>
        </w:rPr>
        <w:t>t.</w:t>
      </w:r>
    </w:p>
    <w:p w14:paraId="325AFDDC" w14:textId="77777777" w:rsidR="001E02C3" w:rsidRDefault="00602A9A">
      <w:pPr>
        <w:numPr>
          <w:ilvl w:val="0"/>
          <w:numId w:val="1"/>
        </w:numPr>
        <w:spacing w:after="0" w:line="240" w:lineRule="auto"/>
        <w:rPr>
          <w:color w:val="000000"/>
          <w:sz w:val="21"/>
          <w:szCs w:val="21"/>
        </w:rPr>
      </w:pPr>
      <w:r>
        <w:rPr>
          <w:color w:val="000000"/>
          <w:sz w:val="21"/>
          <w:szCs w:val="21"/>
        </w:rPr>
        <w:t xml:space="preserve">Der EuGH </w:t>
      </w:r>
      <w:hyperlink r:id="rId22">
        <w:r>
          <w:rPr>
            <w:color w:val="1155CC"/>
            <w:sz w:val="21"/>
            <w:szCs w:val="21"/>
            <w:u w:val="single"/>
          </w:rPr>
          <w:t xml:space="preserve">entschied </w:t>
        </w:r>
      </w:hyperlink>
      <w:r>
        <w:rPr>
          <w:color w:val="000000"/>
          <w:sz w:val="21"/>
          <w:szCs w:val="21"/>
        </w:rPr>
        <w:t xml:space="preserve"> vor kurzem, dass innereuropäische ISDS-Verfahren „mit EU-Recht unvereinbar“ sind.</w:t>
      </w:r>
    </w:p>
    <w:p w14:paraId="67C9B1C4" w14:textId="77777777" w:rsidR="001E02C3" w:rsidRDefault="00602A9A">
      <w:pPr>
        <w:numPr>
          <w:ilvl w:val="0"/>
          <w:numId w:val="1"/>
        </w:numPr>
        <w:spacing w:after="0" w:line="240" w:lineRule="auto"/>
        <w:rPr>
          <w:color w:val="000000"/>
          <w:sz w:val="21"/>
          <w:szCs w:val="21"/>
        </w:rPr>
      </w:pPr>
      <w:r>
        <w:rPr>
          <w:color w:val="000000"/>
          <w:sz w:val="21"/>
          <w:szCs w:val="21"/>
        </w:rPr>
        <w:t>Die öffentliche Konsultation zu ISDS</w:t>
      </w:r>
      <w:r>
        <w:rPr>
          <w:color w:val="000000"/>
          <w:sz w:val="21"/>
          <w:szCs w:val="21"/>
        </w:rPr>
        <w:t xml:space="preserve"> durch die EU-Kommission </w:t>
      </w:r>
      <w:hyperlink r:id="rId23">
        <w:r>
          <w:rPr>
            <w:color w:val="1155CC"/>
            <w:sz w:val="21"/>
            <w:szCs w:val="21"/>
            <w:u w:val="single"/>
          </w:rPr>
          <w:t>ergab, dass über 97%</w:t>
        </w:r>
      </w:hyperlink>
      <w:r>
        <w:rPr>
          <w:color w:val="000000"/>
          <w:sz w:val="21"/>
          <w:szCs w:val="21"/>
        </w:rPr>
        <w:t xml:space="preserve"> der Teilnehmer diese den Konzernen eingeräumten Privilegien ablehnen. </w:t>
      </w:r>
    </w:p>
    <w:p w14:paraId="3FB5AC08" w14:textId="77777777" w:rsidR="001E02C3" w:rsidRDefault="00602A9A">
      <w:pPr>
        <w:numPr>
          <w:ilvl w:val="0"/>
          <w:numId w:val="1"/>
        </w:numPr>
        <w:spacing w:after="0" w:line="240" w:lineRule="auto"/>
        <w:rPr>
          <w:color w:val="000000"/>
          <w:sz w:val="21"/>
          <w:szCs w:val="21"/>
        </w:rPr>
      </w:pPr>
      <w:r>
        <w:rPr>
          <w:color w:val="000000"/>
          <w:sz w:val="21"/>
          <w:szCs w:val="21"/>
        </w:rPr>
        <w:t>EU-Handelsko</w:t>
      </w:r>
      <w:r>
        <w:rPr>
          <w:color w:val="000000"/>
          <w:sz w:val="21"/>
          <w:szCs w:val="21"/>
        </w:rPr>
        <w:t xml:space="preserve">mmissarin Cecilia Malmström </w:t>
      </w:r>
      <w:hyperlink r:id="rId24">
        <w:r>
          <w:rPr>
            <w:color w:val="1155CC"/>
            <w:sz w:val="21"/>
            <w:szCs w:val="21"/>
            <w:u w:val="single"/>
          </w:rPr>
          <w:t xml:space="preserve">beschrieb </w:t>
        </w:r>
      </w:hyperlink>
      <w:r>
        <w:rPr>
          <w:color w:val="000000"/>
          <w:sz w:val="21"/>
          <w:szCs w:val="21"/>
        </w:rPr>
        <w:t xml:space="preserve"> ISDS zuletzt als „die toxischste Abkürzung in Europa.“ Teilweise deshalb versucht die EU nun, neue Abkürzungen für ISDS zu find</w:t>
      </w:r>
      <w:r>
        <w:rPr>
          <w:color w:val="000000"/>
          <w:sz w:val="21"/>
          <w:szCs w:val="21"/>
        </w:rPr>
        <w:t xml:space="preserve">en: </w:t>
      </w:r>
      <w:hyperlink r:id="rId25">
        <w:r>
          <w:rPr>
            <w:color w:val="1155CC"/>
            <w:sz w:val="21"/>
            <w:szCs w:val="21"/>
            <w:u w:val="single"/>
          </w:rPr>
          <w:t xml:space="preserve">ICS </w:t>
        </w:r>
      </w:hyperlink>
      <w:r>
        <w:rPr>
          <w:color w:val="000000"/>
          <w:sz w:val="21"/>
          <w:szCs w:val="21"/>
        </w:rPr>
        <w:t xml:space="preserve">und </w:t>
      </w:r>
      <w:hyperlink r:id="rId26">
        <w:r>
          <w:rPr>
            <w:color w:val="1155CC"/>
            <w:sz w:val="21"/>
            <w:szCs w:val="21"/>
            <w:u w:val="single"/>
          </w:rPr>
          <w:t>MIC</w:t>
        </w:r>
      </w:hyperlink>
      <w:r>
        <w:rPr>
          <w:color w:val="000000"/>
          <w:sz w:val="21"/>
          <w:szCs w:val="21"/>
        </w:rPr>
        <w:t xml:space="preserve">. </w:t>
      </w:r>
    </w:p>
    <w:p w14:paraId="3795841A" w14:textId="77777777" w:rsidR="001E02C3" w:rsidRDefault="00602A9A">
      <w:pPr>
        <w:numPr>
          <w:ilvl w:val="0"/>
          <w:numId w:val="1"/>
        </w:numPr>
        <w:spacing w:after="0" w:line="240" w:lineRule="auto"/>
        <w:rPr>
          <w:color w:val="000000"/>
          <w:sz w:val="21"/>
          <w:szCs w:val="21"/>
        </w:rPr>
      </w:pPr>
      <w:r>
        <w:rPr>
          <w:color w:val="000000"/>
          <w:sz w:val="21"/>
          <w:szCs w:val="21"/>
        </w:rPr>
        <w:t>ISDS räumt ausländischen Investoren mehr Recht</w:t>
      </w:r>
      <w:r>
        <w:rPr>
          <w:color w:val="000000"/>
          <w:sz w:val="21"/>
          <w:szCs w:val="21"/>
        </w:rPr>
        <w:t>e ein als lokalen Unternehmen und Bürgern – sie können heimische Gerichte umgehen und Staaten direkt über internationale Gerichtshöfe verklagen.</w:t>
      </w:r>
    </w:p>
    <w:p w14:paraId="7DF9A113" w14:textId="77777777" w:rsidR="001E02C3" w:rsidRDefault="00602A9A">
      <w:pPr>
        <w:numPr>
          <w:ilvl w:val="0"/>
          <w:numId w:val="1"/>
        </w:numPr>
        <w:spacing w:after="0" w:line="240" w:lineRule="auto"/>
        <w:rPr>
          <w:color w:val="000000"/>
          <w:sz w:val="21"/>
          <w:szCs w:val="21"/>
        </w:rPr>
      </w:pPr>
      <w:r>
        <w:rPr>
          <w:color w:val="000000"/>
          <w:sz w:val="21"/>
          <w:szCs w:val="21"/>
        </w:rPr>
        <w:t>ISDS-Fälle werden gewöhnlich unter Ausschluss der Öffentlichkeit vor Gerichten verhandelt, die sich aus nur dre</w:t>
      </w:r>
      <w:r>
        <w:rPr>
          <w:color w:val="000000"/>
          <w:sz w:val="21"/>
          <w:szCs w:val="21"/>
        </w:rPr>
        <w:t>i privaten Schiedsrichtern zusammensetzen; sie werden als „Richter“ ernannt und haben davor in vielen Fällen für die Unternehmen gearbeitet, die die Klage einreichen.</w:t>
      </w:r>
    </w:p>
    <w:p w14:paraId="6CA5489D" w14:textId="77777777" w:rsidR="001E02C3" w:rsidRDefault="00602A9A">
      <w:pPr>
        <w:numPr>
          <w:ilvl w:val="0"/>
          <w:numId w:val="1"/>
        </w:numPr>
        <w:spacing w:after="0" w:line="240" w:lineRule="auto"/>
        <w:rPr>
          <w:color w:val="000000"/>
          <w:sz w:val="21"/>
          <w:szCs w:val="21"/>
        </w:rPr>
      </w:pPr>
      <w:r>
        <w:rPr>
          <w:color w:val="000000"/>
          <w:sz w:val="21"/>
          <w:szCs w:val="21"/>
        </w:rPr>
        <w:t xml:space="preserve">Doch selbst wenn eine Regierung das Verfahren gewinnt, geht aus </w:t>
      </w:r>
      <w:hyperlink r:id="rId27">
        <w:r>
          <w:rPr>
            <w:color w:val="1155CC"/>
            <w:sz w:val="21"/>
            <w:szCs w:val="21"/>
            <w:u w:val="single"/>
          </w:rPr>
          <w:t>einer OECD-Studie aus dem Jahr 2012</w:t>
        </w:r>
      </w:hyperlink>
      <w:r>
        <w:rPr>
          <w:color w:val="000000"/>
          <w:sz w:val="21"/>
          <w:szCs w:val="21"/>
        </w:rPr>
        <w:t xml:space="preserve"> hervor, dass Streitfälle 3 bis 5 Jahre dauern und pro Fall durchschnittlich 8 Millionen US-Dollar kosten, wobei manche Verfahren Kosten von bis zu 30 Millionen US-Dol</w:t>
      </w:r>
      <w:r>
        <w:rPr>
          <w:color w:val="000000"/>
          <w:sz w:val="21"/>
          <w:szCs w:val="21"/>
        </w:rPr>
        <w:t>lar verursachen.</w:t>
      </w:r>
    </w:p>
    <w:p w14:paraId="1BDFB2D6" w14:textId="77777777" w:rsidR="001E02C3" w:rsidRDefault="00602A9A">
      <w:pPr>
        <w:numPr>
          <w:ilvl w:val="0"/>
          <w:numId w:val="1"/>
        </w:numPr>
        <w:spacing w:after="0" w:line="240" w:lineRule="auto"/>
        <w:rPr>
          <w:color w:val="000000"/>
          <w:sz w:val="21"/>
          <w:szCs w:val="21"/>
        </w:rPr>
      </w:pPr>
      <w:r>
        <w:rPr>
          <w:color w:val="000000"/>
          <w:sz w:val="21"/>
          <w:szCs w:val="21"/>
        </w:rPr>
        <w:t xml:space="preserve">Die philippinische Regierung kostete die Verteidigung in zwei Verfahren gegen den deutschen Flughafenbetreiber Fraport </w:t>
      </w:r>
      <w:hyperlink r:id="rId28">
        <w:r>
          <w:rPr>
            <w:color w:val="1155CC"/>
            <w:sz w:val="21"/>
            <w:szCs w:val="21"/>
            <w:u w:val="single"/>
          </w:rPr>
          <w:t>58 Millionen US-Dollar</w:t>
        </w:r>
      </w:hyperlink>
      <w:r>
        <w:rPr>
          <w:color w:val="000000"/>
          <w:sz w:val="21"/>
          <w:szCs w:val="21"/>
        </w:rPr>
        <w:t xml:space="preserve"> – eine Summe, die gereicht</w:t>
      </w:r>
      <w:r>
        <w:rPr>
          <w:color w:val="000000"/>
          <w:sz w:val="21"/>
          <w:szCs w:val="21"/>
        </w:rPr>
        <w:t xml:space="preserve"> hätte, um ein Jahr lang die Gehälter von 12.500 Lehrerinnen und Lehrern zu bezahlen. </w:t>
      </w:r>
    </w:p>
    <w:p w14:paraId="6FDC82B2" w14:textId="77777777" w:rsidR="001E02C3" w:rsidRDefault="00602A9A">
      <w:pPr>
        <w:numPr>
          <w:ilvl w:val="0"/>
          <w:numId w:val="1"/>
        </w:numPr>
        <w:spacing w:after="0" w:line="240" w:lineRule="auto"/>
        <w:rPr>
          <w:color w:val="000000"/>
          <w:sz w:val="21"/>
          <w:szCs w:val="21"/>
        </w:rPr>
      </w:pPr>
      <w:r>
        <w:rPr>
          <w:color w:val="000000"/>
          <w:sz w:val="21"/>
          <w:szCs w:val="21"/>
        </w:rPr>
        <w:t xml:space="preserve">Ein jüngstes </w:t>
      </w:r>
      <w:hyperlink r:id="rId29">
        <w:r>
          <w:rPr>
            <w:color w:val="1155CC"/>
            <w:sz w:val="21"/>
            <w:szCs w:val="21"/>
            <w:u w:val="single"/>
          </w:rPr>
          <w:t>WTO-Arbeitspapier</w:t>
        </w:r>
      </w:hyperlink>
      <w:r>
        <w:rPr>
          <w:color w:val="000000"/>
          <w:sz w:val="21"/>
          <w:szCs w:val="21"/>
        </w:rPr>
        <w:t xml:space="preserve"> konnte keine empirisc</w:t>
      </w:r>
      <w:r>
        <w:rPr>
          <w:color w:val="000000"/>
          <w:sz w:val="21"/>
          <w:szCs w:val="21"/>
        </w:rPr>
        <w:t>he Evidenz feststellen, dass ISDS zu mehr Investitionen führt.</w:t>
      </w:r>
    </w:p>
    <w:p w14:paraId="798EE763" w14:textId="77777777" w:rsidR="001E02C3" w:rsidRDefault="00602A9A">
      <w:pPr>
        <w:numPr>
          <w:ilvl w:val="0"/>
          <w:numId w:val="1"/>
        </w:numPr>
        <w:spacing w:after="0" w:line="240" w:lineRule="auto"/>
        <w:rPr>
          <w:color w:val="000000"/>
          <w:sz w:val="21"/>
          <w:szCs w:val="21"/>
        </w:rPr>
      </w:pPr>
      <w:r>
        <w:rPr>
          <w:color w:val="000000"/>
          <w:sz w:val="21"/>
          <w:szCs w:val="21"/>
        </w:rPr>
        <w:t>ISDS verfügt über kein Präzedenzfall- oder Berufungssystem; das heißt, die Entscheidungen der Schiedsrichter sind endgültig und können widersprüchlich sein.</w:t>
      </w:r>
    </w:p>
    <w:p w14:paraId="7A4FC390" w14:textId="77777777" w:rsidR="001E02C3" w:rsidRDefault="001E02C3">
      <w:pPr>
        <w:spacing w:after="0" w:line="240" w:lineRule="auto"/>
        <w:rPr>
          <w:rFonts w:ascii="Times New Roman" w:eastAsia="Times New Roman" w:hAnsi="Times New Roman" w:cs="Times New Roman"/>
          <w:sz w:val="21"/>
          <w:szCs w:val="21"/>
        </w:rPr>
      </w:pPr>
    </w:p>
    <w:p w14:paraId="610E5C3A" w14:textId="77777777" w:rsidR="001E02C3" w:rsidRDefault="00602A9A">
      <w:pPr>
        <w:spacing w:after="0" w:line="240" w:lineRule="auto"/>
        <w:rPr>
          <w:b/>
          <w:color w:val="000000"/>
          <w:sz w:val="21"/>
          <w:szCs w:val="21"/>
        </w:rPr>
      </w:pPr>
      <w:r>
        <w:rPr>
          <w:b/>
          <w:color w:val="000000"/>
          <w:sz w:val="21"/>
          <w:szCs w:val="21"/>
        </w:rPr>
        <w:t>Kurzum, ISDS ist ein enorm kostspie</w:t>
      </w:r>
      <w:r>
        <w:rPr>
          <w:b/>
          <w:color w:val="000000"/>
          <w:sz w:val="21"/>
          <w:szCs w:val="21"/>
        </w:rPr>
        <w:t>liges System ohne unabhängige Justiz, Präzedenzfälle oder Berufungsmöglichkeit, das den globalen Konzernen, deren Marktmacht auch so schon enorm ist, zusätzliche Rechtsansprüche einräumt und das auf Rechtsbegriffen beruht, die von nationalen Rechtssystemen</w:t>
      </w:r>
      <w:r>
        <w:rPr>
          <w:b/>
          <w:color w:val="000000"/>
          <w:sz w:val="21"/>
          <w:szCs w:val="21"/>
        </w:rPr>
        <w:t xml:space="preserve"> nicht anerkannt werden und heimischen Investoren nicht zur Verfügung stehen.</w:t>
      </w:r>
    </w:p>
    <w:p w14:paraId="7EF51314" w14:textId="77777777" w:rsidR="001E02C3" w:rsidRDefault="00602A9A">
      <w:pPr>
        <w:rPr>
          <w:b/>
          <w:color w:val="000000"/>
          <w:sz w:val="24"/>
          <w:szCs w:val="24"/>
        </w:rPr>
      </w:pPr>
      <w:r>
        <w:br w:type="page"/>
      </w:r>
    </w:p>
    <w:p w14:paraId="1AE9E9B1" w14:textId="77777777" w:rsidR="001E02C3" w:rsidRDefault="00602A9A">
      <w:pPr>
        <w:spacing w:after="0" w:line="240" w:lineRule="auto"/>
        <w:rPr>
          <w:b/>
          <w:color w:val="000000"/>
          <w:sz w:val="24"/>
          <w:szCs w:val="24"/>
        </w:rPr>
      </w:pPr>
      <w:r>
        <w:rPr>
          <w:b/>
          <w:color w:val="000000"/>
          <w:sz w:val="24"/>
          <w:szCs w:val="24"/>
        </w:rPr>
        <w:lastRenderedPageBreak/>
        <w:t>Anhang: WEF-Industriepartner, die auf Grundlage der ISDS-Bestimmungen Regierungen verklagen</w:t>
      </w:r>
    </w:p>
    <w:p w14:paraId="1AB6F5DB" w14:textId="77777777" w:rsidR="001E02C3" w:rsidRDefault="001E02C3">
      <w:pPr>
        <w:spacing w:after="0" w:line="240" w:lineRule="auto"/>
        <w:rPr>
          <w:rFonts w:ascii="Times New Roman" w:eastAsia="Times New Roman" w:hAnsi="Times New Roman" w:cs="Times New Roman"/>
          <w:sz w:val="21"/>
          <w:szCs w:val="21"/>
        </w:rPr>
      </w:pPr>
    </w:p>
    <w:p w14:paraId="7802A221" w14:textId="77777777" w:rsidR="001E02C3" w:rsidRDefault="00602A9A">
      <w:pPr>
        <w:spacing w:after="0" w:line="240" w:lineRule="auto"/>
        <w:rPr>
          <w:rFonts w:ascii="Times New Roman" w:eastAsia="Times New Roman" w:hAnsi="Times New Roman" w:cs="Times New Roman"/>
          <w:sz w:val="21"/>
          <w:szCs w:val="21"/>
        </w:rPr>
      </w:pPr>
      <w:r>
        <w:rPr>
          <w:b/>
          <w:color w:val="000000"/>
          <w:sz w:val="21"/>
          <w:szCs w:val="21"/>
        </w:rPr>
        <w:t>Auszüge aus Verfahren</w:t>
      </w:r>
      <w:r>
        <w:rPr>
          <w:color w:val="000000"/>
          <w:sz w:val="21"/>
          <w:szCs w:val="21"/>
        </w:rPr>
        <w:t>:</w:t>
      </w:r>
      <w:r>
        <w:rPr>
          <w:color w:val="000000"/>
          <w:sz w:val="21"/>
          <w:szCs w:val="21"/>
        </w:rPr>
        <w:br/>
      </w:r>
    </w:p>
    <w:p w14:paraId="1812C872" w14:textId="77777777" w:rsidR="001E02C3" w:rsidRDefault="00602A9A">
      <w:pPr>
        <w:spacing w:after="0" w:line="240" w:lineRule="auto"/>
        <w:rPr>
          <w:color w:val="000000"/>
          <w:sz w:val="21"/>
          <w:szCs w:val="21"/>
        </w:rPr>
      </w:pPr>
      <w:r>
        <w:rPr>
          <w:b/>
          <w:color w:val="000000"/>
          <w:sz w:val="21"/>
          <w:szCs w:val="21"/>
        </w:rPr>
        <w:t>Vattenfall</w:t>
      </w:r>
      <w:r>
        <w:rPr>
          <w:color w:val="000000"/>
          <w:sz w:val="21"/>
          <w:szCs w:val="21"/>
        </w:rPr>
        <w:t xml:space="preserve">, ein Kraftwerksbetreiber, </w:t>
      </w:r>
      <w:hyperlink r:id="rId30">
        <w:r>
          <w:rPr>
            <w:color w:val="1155CC"/>
            <w:sz w:val="21"/>
            <w:szCs w:val="21"/>
            <w:u w:val="single"/>
          </w:rPr>
          <w:t xml:space="preserve">verklagte </w:t>
        </w:r>
      </w:hyperlink>
      <w:r>
        <w:rPr>
          <w:color w:val="000000"/>
          <w:sz w:val="21"/>
          <w:szCs w:val="21"/>
        </w:rPr>
        <w:t xml:space="preserve">Deutschland auf 4 Milliarden Euro Schadenersatz, nachdem die Regierung den Ausstieg aus der Atomenergie angekündigt hatte. Vattenfall </w:t>
      </w:r>
      <w:hyperlink r:id="rId31">
        <w:r>
          <w:rPr>
            <w:color w:val="1155CC"/>
            <w:sz w:val="21"/>
            <w:szCs w:val="21"/>
            <w:u w:val="single"/>
          </w:rPr>
          <w:t xml:space="preserve">verklagte </w:t>
        </w:r>
      </w:hyperlink>
      <w:r>
        <w:rPr>
          <w:color w:val="000000"/>
          <w:sz w:val="21"/>
          <w:szCs w:val="21"/>
        </w:rPr>
        <w:t>Deutschland außerdem, nachdem die Hamburger Umweltschutzbehörde Qualitätskontrollen für das Abwasser aus einem Vattenfall-Kraftwerk angeordnet hatte. Vattenfall berief sich darauf, dass das Investitionsp</w:t>
      </w:r>
      <w:r>
        <w:rPr>
          <w:color w:val="000000"/>
          <w:sz w:val="21"/>
          <w:szCs w:val="21"/>
        </w:rPr>
        <w:t xml:space="preserve">rojekt durch die neuen Standards unrentabel geworden sei. Unter Berufung auf ISDS-Bestimmungen forderte der Konzern von Deutschland eine Entschädigung von insgesamt 1,4 Milliarden Euro. Das Verfahren wurde schließlich beigelegt, als sich die Stadt Hamburg </w:t>
      </w:r>
      <w:r>
        <w:rPr>
          <w:color w:val="000000"/>
          <w:sz w:val="21"/>
          <w:szCs w:val="21"/>
        </w:rPr>
        <w:t>bereit erklärte, die zuvor festgelegten Umweltauflagen zu senken.</w:t>
      </w:r>
    </w:p>
    <w:p w14:paraId="23A08C04" w14:textId="77777777" w:rsidR="001E02C3" w:rsidRDefault="001E02C3">
      <w:pPr>
        <w:spacing w:after="0" w:line="240" w:lineRule="auto"/>
        <w:rPr>
          <w:rFonts w:ascii="Times New Roman" w:eastAsia="Times New Roman" w:hAnsi="Times New Roman" w:cs="Times New Roman"/>
          <w:sz w:val="21"/>
          <w:szCs w:val="21"/>
        </w:rPr>
      </w:pPr>
    </w:p>
    <w:p w14:paraId="61283DAF" w14:textId="77777777" w:rsidR="001E02C3" w:rsidRDefault="00602A9A">
      <w:pPr>
        <w:spacing w:after="0" w:line="240" w:lineRule="auto"/>
        <w:rPr>
          <w:color w:val="000000"/>
          <w:sz w:val="21"/>
          <w:szCs w:val="21"/>
        </w:rPr>
      </w:pPr>
      <w:r>
        <w:rPr>
          <w:b/>
          <w:color w:val="000000"/>
          <w:sz w:val="21"/>
          <w:szCs w:val="21"/>
        </w:rPr>
        <w:t xml:space="preserve">Chevron </w:t>
      </w:r>
      <w:hyperlink r:id="rId32">
        <w:r>
          <w:rPr>
            <w:color w:val="1155CC"/>
            <w:sz w:val="21"/>
            <w:szCs w:val="21"/>
            <w:u w:val="single"/>
          </w:rPr>
          <w:t>verklagte</w:t>
        </w:r>
      </w:hyperlink>
      <w:r>
        <w:rPr>
          <w:color w:val="000000"/>
          <w:sz w:val="21"/>
          <w:szCs w:val="21"/>
        </w:rPr>
        <w:t xml:space="preserve"> Ecuador wegen des Versuchs, das Unternehmen zu zwingen, die Kosten für die durch die Bergbauaktivitäten im Amazonas </w:t>
      </w:r>
      <w:r>
        <w:rPr>
          <w:color w:val="000000"/>
          <w:sz w:val="21"/>
          <w:szCs w:val="21"/>
        </w:rPr>
        <w:t xml:space="preserve">verursachten verheerenden Umweltschäden zu übernehmen. </w:t>
      </w:r>
    </w:p>
    <w:p w14:paraId="5FD3404F" w14:textId="77777777" w:rsidR="001E02C3" w:rsidRDefault="001E02C3">
      <w:pPr>
        <w:spacing w:after="0" w:line="240" w:lineRule="auto"/>
        <w:rPr>
          <w:rFonts w:ascii="Times New Roman" w:eastAsia="Times New Roman" w:hAnsi="Times New Roman" w:cs="Times New Roman"/>
          <w:sz w:val="21"/>
          <w:szCs w:val="21"/>
        </w:rPr>
      </w:pPr>
    </w:p>
    <w:p w14:paraId="4656F974" w14:textId="77777777" w:rsidR="001E02C3" w:rsidRDefault="00602A9A">
      <w:pPr>
        <w:spacing w:after="0" w:line="240" w:lineRule="auto"/>
        <w:rPr>
          <w:color w:val="000000"/>
          <w:sz w:val="21"/>
          <w:szCs w:val="21"/>
        </w:rPr>
      </w:pPr>
      <w:r>
        <w:rPr>
          <w:b/>
          <w:color w:val="000000"/>
          <w:sz w:val="21"/>
          <w:szCs w:val="21"/>
        </w:rPr>
        <w:t xml:space="preserve">Glencore </w:t>
      </w:r>
      <w:hyperlink r:id="rId33">
        <w:r>
          <w:rPr>
            <w:color w:val="1155CC"/>
            <w:sz w:val="21"/>
            <w:szCs w:val="21"/>
            <w:u w:val="single"/>
          </w:rPr>
          <w:t xml:space="preserve">verklagte </w:t>
        </w:r>
      </w:hyperlink>
      <w:r>
        <w:rPr>
          <w:color w:val="000000"/>
          <w:sz w:val="21"/>
          <w:szCs w:val="21"/>
        </w:rPr>
        <w:t>die Regierung Kolumbiens, weil sie die Expansion eines umweltschädlichen Braunkohletagbaus eins</w:t>
      </w:r>
      <w:r>
        <w:rPr>
          <w:color w:val="000000"/>
          <w:sz w:val="21"/>
          <w:szCs w:val="21"/>
        </w:rPr>
        <w:t>chränkte.</w:t>
      </w:r>
    </w:p>
    <w:p w14:paraId="11ACC06B" w14:textId="77777777" w:rsidR="001E02C3" w:rsidRDefault="001E02C3">
      <w:pPr>
        <w:spacing w:after="0" w:line="240" w:lineRule="auto"/>
        <w:rPr>
          <w:rFonts w:ascii="Times New Roman" w:eastAsia="Times New Roman" w:hAnsi="Times New Roman" w:cs="Times New Roman"/>
          <w:sz w:val="21"/>
          <w:szCs w:val="21"/>
        </w:rPr>
      </w:pPr>
    </w:p>
    <w:p w14:paraId="2B5E8437" w14:textId="77777777" w:rsidR="001E02C3" w:rsidRDefault="00602A9A">
      <w:pPr>
        <w:spacing w:after="0" w:line="240" w:lineRule="auto"/>
        <w:rPr>
          <w:color w:val="000000"/>
          <w:sz w:val="21"/>
          <w:szCs w:val="21"/>
        </w:rPr>
      </w:pPr>
      <w:r>
        <w:rPr>
          <w:b/>
          <w:color w:val="000000"/>
          <w:sz w:val="21"/>
          <w:szCs w:val="21"/>
        </w:rPr>
        <w:t>Engie</w:t>
      </w:r>
      <w:hyperlink r:id="rId34">
        <w:r>
          <w:rPr>
            <w:b/>
            <w:color w:val="000000"/>
            <w:sz w:val="21"/>
            <w:szCs w:val="21"/>
            <w:u w:val="single"/>
          </w:rPr>
          <w:t xml:space="preserve"> </w:t>
        </w:r>
      </w:hyperlink>
      <w:hyperlink r:id="rId35">
        <w:r>
          <w:rPr>
            <w:color w:val="1155CC"/>
            <w:sz w:val="21"/>
            <w:szCs w:val="21"/>
            <w:u w:val="single"/>
          </w:rPr>
          <w:t>verklagte</w:t>
        </w:r>
      </w:hyperlink>
      <w:r>
        <w:rPr>
          <w:color w:val="000000"/>
          <w:sz w:val="21"/>
          <w:szCs w:val="21"/>
        </w:rPr>
        <w:t xml:space="preserve"> Ungarn, nachdem die Regierung die Steuern für ausländische Energieunternehmen erhöht und versucht hatte, die Gebühren für die Verbraucher zu senken.</w:t>
      </w:r>
    </w:p>
    <w:p w14:paraId="6403066C" w14:textId="77777777" w:rsidR="001E02C3" w:rsidRDefault="001E02C3">
      <w:pPr>
        <w:spacing w:after="0" w:line="240" w:lineRule="auto"/>
        <w:rPr>
          <w:rFonts w:ascii="Times New Roman" w:eastAsia="Times New Roman" w:hAnsi="Times New Roman" w:cs="Times New Roman"/>
          <w:sz w:val="21"/>
          <w:szCs w:val="21"/>
        </w:rPr>
      </w:pPr>
    </w:p>
    <w:p w14:paraId="631A5245" w14:textId="77777777" w:rsidR="001E02C3" w:rsidRDefault="00602A9A">
      <w:pPr>
        <w:spacing w:after="0" w:line="240" w:lineRule="auto"/>
        <w:rPr>
          <w:color w:val="000000"/>
          <w:sz w:val="21"/>
          <w:szCs w:val="21"/>
        </w:rPr>
      </w:pPr>
      <w:r>
        <w:rPr>
          <w:b/>
          <w:color w:val="000000"/>
          <w:sz w:val="21"/>
          <w:szCs w:val="21"/>
        </w:rPr>
        <w:t xml:space="preserve">Mobil </w:t>
      </w:r>
      <w:hyperlink r:id="rId36">
        <w:r>
          <w:rPr>
            <w:color w:val="1155CC"/>
            <w:sz w:val="21"/>
            <w:szCs w:val="21"/>
            <w:u w:val="single"/>
          </w:rPr>
          <w:t>verklagte</w:t>
        </w:r>
      </w:hyperlink>
      <w:r>
        <w:rPr>
          <w:color w:val="000000"/>
          <w:sz w:val="21"/>
          <w:szCs w:val="21"/>
        </w:rPr>
        <w:t xml:space="preserve"> die kanadische Regierung, nachdem die Provinz Neufundland versucht hatte, durchzusetzen, dass ein Prozentsatz der Gewinne aus der Offshore-Gasförderung in die Forschung und Entwicklung in der Region rückinvestiert wird.</w:t>
      </w:r>
    </w:p>
    <w:p w14:paraId="03D316A2" w14:textId="77777777" w:rsidR="001E02C3" w:rsidRDefault="001E02C3">
      <w:pPr>
        <w:spacing w:after="0" w:line="240" w:lineRule="auto"/>
        <w:rPr>
          <w:rFonts w:ascii="Times New Roman" w:eastAsia="Times New Roman" w:hAnsi="Times New Roman" w:cs="Times New Roman"/>
          <w:sz w:val="21"/>
          <w:szCs w:val="21"/>
        </w:rPr>
      </w:pPr>
    </w:p>
    <w:p w14:paraId="5417F81A" w14:textId="77777777" w:rsidR="001E02C3" w:rsidRDefault="00602A9A">
      <w:pPr>
        <w:spacing w:after="0" w:line="240" w:lineRule="auto"/>
        <w:rPr>
          <w:color w:val="000000"/>
          <w:sz w:val="21"/>
          <w:szCs w:val="21"/>
        </w:rPr>
      </w:pPr>
      <w:r>
        <w:rPr>
          <w:b/>
          <w:color w:val="000000"/>
          <w:sz w:val="21"/>
          <w:szCs w:val="21"/>
        </w:rPr>
        <w:t xml:space="preserve">Total </w:t>
      </w:r>
      <w:hyperlink r:id="rId37">
        <w:r>
          <w:rPr>
            <w:color w:val="000000"/>
            <w:sz w:val="21"/>
            <w:szCs w:val="21"/>
            <w:u w:val="single"/>
          </w:rPr>
          <w:t xml:space="preserve"> </w:t>
        </w:r>
      </w:hyperlink>
      <w:hyperlink r:id="rId38">
        <w:r>
          <w:rPr>
            <w:color w:val="1155CC"/>
            <w:sz w:val="21"/>
            <w:szCs w:val="21"/>
            <w:u w:val="single"/>
          </w:rPr>
          <w:t>verklagt</w:t>
        </w:r>
      </w:hyperlink>
      <w:r>
        <w:rPr>
          <w:color w:val="000000"/>
          <w:sz w:val="21"/>
          <w:szCs w:val="21"/>
        </w:rPr>
        <w:t xml:space="preserve"> Uganda, nachdem die Regierung dem Kauf der Erdölförderungs-Blöcke durch das Unterneh</w:t>
      </w:r>
      <w:r>
        <w:rPr>
          <w:color w:val="000000"/>
          <w:sz w:val="21"/>
          <w:szCs w:val="21"/>
        </w:rPr>
        <w:t>men Steuern auferlegt hatte.</w:t>
      </w:r>
    </w:p>
    <w:p w14:paraId="3695E094" w14:textId="77777777" w:rsidR="001E02C3" w:rsidRDefault="001E02C3">
      <w:pPr>
        <w:spacing w:after="0" w:line="240" w:lineRule="auto"/>
        <w:rPr>
          <w:rFonts w:ascii="Times New Roman" w:eastAsia="Times New Roman" w:hAnsi="Times New Roman" w:cs="Times New Roman"/>
          <w:sz w:val="21"/>
          <w:szCs w:val="21"/>
        </w:rPr>
      </w:pPr>
    </w:p>
    <w:p w14:paraId="2ED54D28" w14:textId="77777777" w:rsidR="001E02C3" w:rsidRDefault="00602A9A">
      <w:pPr>
        <w:spacing w:after="0" w:line="240" w:lineRule="auto"/>
        <w:rPr>
          <w:color w:val="000000"/>
          <w:sz w:val="21"/>
          <w:szCs w:val="21"/>
        </w:rPr>
      </w:pPr>
      <w:r>
        <w:rPr>
          <w:b/>
          <w:color w:val="000000"/>
          <w:sz w:val="21"/>
          <w:szCs w:val="21"/>
        </w:rPr>
        <w:t>Scotia Bank</w:t>
      </w:r>
      <w:hyperlink r:id="rId39">
        <w:r>
          <w:rPr>
            <w:color w:val="000000"/>
            <w:sz w:val="21"/>
            <w:szCs w:val="21"/>
            <w:u w:val="single"/>
          </w:rPr>
          <w:t xml:space="preserve"> </w:t>
        </w:r>
      </w:hyperlink>
      <w:hyperlink r:id="rId40">
        <w:r>
          <w:rPr>
            <w:color w:val="1155CC"/>
            <w:sz w:val="21"/>
            <w:szCs w:val="21"/>
            <w:u w:val="single"/>
          </w:rPr>
          <w:t>verklagte</w:t>
        </w:r>
      </w:hyperlink>
      <w:r>
        <w:rPr>
          <w:color w:val="000000"/>
          <w:sz w:val="21"/>
          <w:szCs w:val="21"/>
        </w:rPr>
        <w:t xml:space="preserve"> Argentinien auf eine Entschädigung von über einer halb</w:t>
      </w:r>
      <w:r>
        <w:rPr>
          <w:color w:val="000000"/>
          <w:sz w:val="21"/>
          <w:szCs w:val="21"/>
        </w:rPr>
        <w:t>en Milliarde Dollar wegen Maßnahmen, die von Argentinien während der Finanzkrise 2002 ergriffen wurden.</w:t>
      </w:r>
    </w:p>
    <w:p w14:paraId="47FDC4A2" w14:textId="77777777" w:rsidR="001E02C3" w:rsidRDefault="001E02C3">
      <w:pPr>
        <w:spacing w:after="0" w:line="240" w:lineRule="auto"/>
        <w:rPr>
          <w:rFonts w:ascii="Times New Roman" w:eastAsia="Times New Roman" w:hAnsi="Times New Roman" w:cs="Times New Roman"/>
          <w:sz w:val="21"/>
          <w:szCs w:val="21"/>
        </w:rPr>
      </w:pPr>
    </w:p>
    <w:p w14:paraId="6D6D512B" w14:textId="77777777" w:rsidR="001E02C3" w:rsidRDefault="00602A9A">
      <w:pPr>
        <w:spacing w:after="0" w:line="240" w:lineRule="auto"/>
        <w:rPr>
          <w:color w:val="000000"/>
          <w:sz w:val="21"/>
          <w:szCs w:val="21"/>
        </w:rPr>
      </w:pPr>
      <w:r>
        <w:rPr>
          <w:b/>
          <w:color w:val="000000"/>
          <w:sz w:val="21"/>
          <w:szCs w:val="21"/>
        </w:rPr>
        <w:t>Mercuria</w:t>
      </w:r>
      <w:r>
        <w:rPr>
          <w:color w:val="000000"/>
          <w:sz w:val="21"/>
          <w:szCs w:val="21"/>
        </w:rPr>
        <w:t xml:space="preserve">, ein Schweizer Rohstoffhändler, </w:t>
      </w:r>
      <w:hyperlink r:id="rId41">
        <w:r>
          <w:rPr>
            <w:color w:val="1155CC"/>
            <w:sz w:val="21"/>
            <w:szCs w:val="21"/>
            <w:u w:val="single"/>
          </w:rPr>
          <w:t>verklagte</w:t>
        </w:r>
      </w:hyperlink>
      <w:r>
        <w:rPr>
          <w:color w:val="000000"/>
          <w:sz w:val="21"/>
          <w:szCs w:val="21"/>
        </w:rPr>
        <w:t xml:space="preserve"> Polen über eine zypriotis</w:t>
      </w:r>
      <w:r>
        <w:rPr>
          <w:color w:val="000000"/>
          <w:sz w:val="21"/>
          <w:szCs w:val="21"/>
        </w:rPr>
        <w:t>che Tochtergesellschaft, weil es eine EU-Richtlinie über vorgeschriebene Treibstoffreserven umsetzte, die sich, so das Unternehmen, negativ auf seine Gewinne auswirkte.</w:t>
      </w:r>
    </w:p>
    <w:p w14:paraId="15CFC20E" w14:textId="77777777" w:rsidR="001E02C3" w:rsidRDefault="001E02C3">
      <w:pPr>
        <w:spacing w:after="0" w:line="240" w:lineRule="auto"/>
        <w:rPr>
          <w:rFonts w:ascii="Times New Roman" w:eastAsia="Times New Roman" w:hAnsi="Times New Roman" w:cs="Times New Roman"/>
          <w:sz w:val="21"/>
          <w:szCs w:val="21"/>
        </w:rPr>
      </w:pPr>
    </w:p>
    <w:p w14:paraId="5E54480F" w14:textId="77777777" w:rsidR="001E02C3" w:rsidRDefault="00602A9A">
      <w:pPr>
        <w:spacing w:after="0" w:line="240" w:lineRule="auto"/>
        <w:rPr>
          <w:color w:val="000000"/>
          <w:sz w:val="21"/>
          <w:szCs w:val="21"/>
        </w:rPr>
      </w:pPr>
      <w:r>
        <w:rPr>
          <w:b/>
          <w:color w:val="000000"/>
          <w:sz w:val="21"/>
          <w:szCs w:val="21"/>
        </w:rPr>
        <w:t>Shell</w:t>
      </w:r>
      <w:hyperlink r:id="rId42">
        <w:r>
          <w:rPr>
            <w:b/>
            <w:color w:val="000000"/>
            <w:sz w:val="21"/>
            <w:szCs w:val="21"/>
            <w:u w:val="single"/>
          </w:rPr>
          <w:t xml:space="preserve"> </w:t>
        </w:r>
      </w:hyperlink>
      <w:hyperlink r:id="rId43">
        <w:r>
          <w:rPr>
            <w:color w:val="1155CC"/>
            <w:sz w:val="21"/>
            <w:szCs w:val="21"/>
            <w:u w:val="single"/>
          </w:rPr>
          <w:t>verklagte</w:t>
        </w:r>
      </w:hyperlink>
      <w:r>
        <w:rPr>
          <w:color w:val="000000"/>
          <w:sz w:val="21"/>
          <w:szCs w:val="21"/>
        </w:rPr>
        <w:t xml:space="preserve"> die Philippinen über eine niederländische Tochtergesellschaft, die kurioserweise „Shell Philippines“ heißt, wegen Bemühungen der Regierung, Offshore-Gasförderer zu zwingen, </w:t>
      </w:r>
      <w:r>
        <w:rPr>
          <w:color w:val="000000"/>
          <w:sz w:val="21"/>
          <w:szCs w:val="21"/>
        </w:rPr>
        <w:t>ihren gerechten Steueranteil zu bezahlen.</w:t>
      </w:r>
    </w:p>
    <w:p w14:paraId="625D5165" w14:textId="77777777" w:rsidR="001E02C3" w:rsidRDefault="001E02C3">
      <w:pPr>
        <w:spacing w:after="0" w:line="240" w:lineRule="auto"/>
        <w:rPr>
          <w:rFonts w:ascii="Times New Roman" w:eastAsia="Times New Roman" w:hAnsi="Times New Roman" w:cs="Times New Roman"/>
          <w:sz w:val="21"/>
          <w:szCs w:val="21"/>
        </w:rPr>
      </w:pPr>
    </w:p>
    <w:p w14:paraId="310889C0" w14:textId="77777777" w:rsidR="001E02C3" w:rsidRDefault="00602A9A">
      <w:pPr>
        <w:spacing w:after="0" w:line="240" w:lineRule="auto"/>
        <w:rPr>
          <w:color w:val="000000"/>
          <w:sz w:val="21"/>
          <w:szCs w:val="21"/>
        </w:rPr>
      </w:pPr>
      <w:r>
        <w:rPr>
          <w:b/>
          <w:color w:val="000000"/>
          <w:sz w:val="21"/>
          <w:szCs w:val="21"/>
        </w:rPr>
        <w:t>Credit Suisse</w:t>
      </w:r>
      <w:r>
        <w:rPr>
          <w:color w:val="000000"/>
          <w:sz w:val="21"/>
          <w:szCs w:val="21"/>
        </w:rPr>
        <w:t xml:space="preserve"> und </w:t>
      </w:r>
      <w:r>
        <w:rPr>
          <w:b/>
          <w:color w:val="000000"/>
          <w:sz w:val="21"/>
          <w:szCs w:val="21"/>
        </w:rPr>
        <w:t>Standard Chartered</w:t>
      </w:r>
      <w:hyperlink r:id="rId44">
        <w:r>
          <w:rPr>
            <w:color w:val="000000"/>
            <w:sz w:val="21"/>
            <w:szCs w:val="21"/>
            <w:u w:val="single"/>
          </w:rPr>
          <w:t xml:space="preserve"> </w:t>
        </w:r>
      </w:hyperlink>
      <w:hyperlink r:id="rId45">
        <w:r>
          <w:rPr>
            <w:color w:val="1155CC"/>
            <w:sz w:val="21"/>
            <w:szCs w:val="21"/>
            <w:u w:val="single"/>
          </w:rPr>
          <w:t>verklagten</w:t>
        </w:r>
      </w:hyperlink>
      <w:r>
        <w:rPr>
          <w:color w:val="000000"/>
          <w:sz w:val="21"/>
          <w:szCs w:val="21"/>
        </w:rPr>
        <w:t xml:space="preserve"> die indische Re</w:t>
      </w:r>
      <w:r>
        <w:rPr>
          <w:color w:val="000000"/>
          <w:sz w:val="21"/>
          <w:szCs w:val="21"/>
        </w:rPr>
        <w:t xml:space="preserve">gierung wegen des „Versagens, Investorendarlehen zu schützen.“ </w:t>
      </w:r>
    </w:p>
    <w:p w14:paraId="2F996078" w14:textId="77777777" w:rsidR="001E02C3" w:rsidRDefault="001E02C3">
      <w:pPr>
        <w:spacing w:after="0" w:line="240" w:lineRule="auto"/>
        <w:rPr>
          <w:rFonts w:ascii="Times New Roman" w:eastAsia="Times New Roman" w:hAnsi="Times New Roman" w:cs="Times New Roman"/>
          <w:sz w:val="21"/>
          <w:szCs w:val="21"/>
        </w:rPr>
      </w:pPr>
    </w:p>
    <w:p w14:paraId="2A16ADA4" w14:textId="77777777" w:rsidR="001E02C3" w:rsidRDefault="00602A9A">
      <w:pPr>
        <w:spacing w:after="0" w:line="240" w:lineRule="auto"/>
        <w:rPr>
          <w:color w:val="000000"/>
          <w:sz w:val="21"/>
          <w:szCs w:val="21"/>
        </w:rPr>
      </w:pPr>
      <w:r>
        <w:rPr>
          <w:b/>
          <w:color w:val="000000"/>
          <w:sz w:val="21"/>
          <w:szCs w:val="21"/>
        </w:rPr>
        <w:t>Siemens</w:t>
      </w:r>
      <w:hyperlink r:id="rId46">
        <w:r>
          <w:rPr>
            <w:b/>
            <w:color w:val="000000"/>
            <w:sz w:val="21"/>
            <w:szCs w:val="21"/>
            <w:u w:val="single"/>
          </w:rPr>
          <w:t xml:space="preserve"> </w:t>
        </w:r>
      </w:hyperlink>
      <w:hyperlink r:id="rId47">
        <w:r>
          <w:rPr>
            <w:color w:val="1155CC"/>
            <w:sz w:val="21"/>
            <w:szCs w:val="21"/>
            <w:u w:val="single"/>
          </w:rPr>
          <w:t>verklagte</w:t>
        </w:r>
      </w:hyperlink>
      <w:r>
        <w:rPr>
          <w:color w:val="000000"/>
          <w:sz w:val="21"/>
          <w:szCs w:val="21"/>
        </w:rPr>
        <w:t xml:space="preserve"> Argentinien wegen der</w:t>
      </w:r>
      <w:r>
        <w:rPr>
          <w:color w:val="000000"/>
          <w:sz w:val="21"/>
          <w:szCs w:val="21"/>
        </w:rPr>
        <w:t xml:space="preserve"> Kündigung eines Vertrags über ausgelagerte öffentliche Dienste, nachdem es zu weit verbreiteten Ausfällen gekommen war. Siemens wurden über 200 Millionen US-Dollar zugesprochen.</w:t>
      </w:r>
    </w:p>
    <w:p w14:paraId="43104272" w14:textId="77777777" w:rsidR="001E02C3" w:rsidRDefault="001E02C3">
      <w:pPr>
        <w:spacing w:after="0" w:line="240" w:lineRule="auto"/>
        <w:rPr>
          <w:rFonts w:ascii="Times New Roman" w:eastAsia="Times New Roman" w:hAnsi="Times New Roman" w:cs="Times New Roman"/>
          <w:sz w:val="21"/>
          <w:szCs w:val="21"/>
        </w:rPr>
      </w:pPr>
    </w:p>
    <w:p w14:paraId="61D1EF65" w14:textId="77777777" w:rsidR="001E02C3" w:rsidRDefault="00602A9A">
      <w:pPr>
        <w:spacing w:after="0" w:line="240" w:lineRule="auto"/>
        <w:rPr>
          <w:color w:val="000000"/>
          <w:sz w:val="21"/>
          <w:szCs w:val="21"/>
        </w:rPr>
      </w:pPr>
      <w:r>
        <w:rPr>
          <w:color w:val="000000"/>
          <w:sz w:val="21"/>
          <w:szCs w:val="21"/>
        </w:rPr>
        <w:t>2016</w:t>
      </w:r>
      <w:r>
        <w:rPr>
          <w:b/>
          <w:color w:val="000000"/>
          <w:sz w:val="21"/>
          <w:szCs w:val="21"/>
        </w:rPr>
        <w:t xml:space="preserve"> </w:t>
      </w:r>
      <w:r>
        <w:rPr>
          <w:color w:val="000000"/>
          <w:sz w:val="21"/>
          <w:szCs w:val="21"/>
        </w:rPr>
        <w:t>drohte</w:t>
      </w:r>
      <w:r>
        <w:rPr>
          <w:b/>
          <w:color w:val="000000"/>
          <w:sz w:val="21"/>
          <w:szCs w:val="21"/>
        </w:rPr>
        <w:t xml:space="preserve"> Novartis</w:t>
      </w:r>
      <w:r>
        <w:rPr>
          <w:color w:val="000000"/>
          <w:sz w:val="21"/>
          <w:szCs w:val="21"/>
        </w:rPr>
        <w:t xml:space="preserve"> </w:t>
      </w:r>
      <w:r>
        <w:rPr>
          <w:color w:val="1155CC"/>
          <w:sz w:val="21"/>
          <w:szCs w:val="21"/>
          <w:u w:val="single"/>
        </w:rPr>
        <w:t>mit einer ISDS-Klage</w:t>
      </w:r>
      <w:r>
        <w:rPr>
          <w:color w:val="000000"/>
          <w:sz w:val="21"/>
          <w:szCs w:val="21"/>
        </w:rPr>
        <w:t>, um die kolumbianische Regierung v</w:t>
      </w:r>
      <w:r>
        <w:rPr>
          <w:color w:val="000000"/>
          <w:sz w:val="21"/>
          <w:szCs w:val="21"/>
        </w:rPr>
        <w:t>on dem Versuch abzuhalten, ein lebensrettendes Medikament zur Behandlung von Leukämie durch Zwangslizenzierung leichter zugänglich zu machen. Das Medikament, das Novartis Einnahmen im Wert von über 40 Milliarden Euro beschert hat, wurde für 15.000 US-Dolla</w:t>
      </w:r>
      <w:r>
        <w:rPr>
          <w:color w:val="000000"/>
          <w:sz w:val="21"/>
          <w:szCs w:val="21"/>
        </w:rPr>
        <w:t>r pro Patient pro Jahr verkauft; das ist doppelt so hoch wie das Durchschnittseinkommen in Kolumbien.</w:t>
      </w:r>
    </w:p>
    <w:p w14:paraId="4DD9E9AE" w14:textId="77777777" w:rsidR="001E02C3" w:rsidRDefault="001E02C3">
      <w:pPr>
        <w:spacing w:after="0" w:line="240" w:lineRule="auto"/>
        <w:rPr>
          <w:rFonts w:ascii="Times New Roman" w:eastAsia="Times New Roman" w:hAnsi="Times New Roman" w:cs="Times New Roman"/>
          <w:sz w:val="21"/>
          <w:szCs w:val="21"/>
        </w:rPr>
      </w:pPr>
    </w:p>
    <w:p w14:paraId="3BE698F2" w14:textId="77777777" w:rsidR="001E02C3" w:rsidRDefault="00602A9A">
      <w:pPr>
        <w:spacing w:after="0" w:line="240" w:lineRule="auto"/>
        <w:rPr>
          <w:color w:val="000000"/>
          <w:sz w:val="21"/>
          <w:szCs w:val="21"/>
        </w:rPr>
      </w:pPr>
      <w:r>
        <w:rPr>
          <w:b/>
          <w:color w:val="000000"/>
          <w:sz w:val="21"/>
          <w:szCs w:val="21"/>
        </w:rPr>
        <w:t>Cargill</w:t>
      </w:r>
      <w:r>
        <w:rPr>
          <w:color w:val="000000"/>
          <w:sz w:val="21"/>
          <w:szCs w:val="21"/>
        </w:rPr>
        <w:t>, ein Hersteller von Lebensmittelprodukten, verklagte die mexikanische Regierung wegen der Auferlegung einer Steuer auf Getränke, die Maissirup mit hohem Fruchtzuckergehalt enthalten. Die Steuer war ein Versuch, eine Lösung für die ausufernden Probleme des</w:t>
      </w:r>
      <w:r>
        <w:rPr>
          <w:color w:val="000000"/>
          <w:sz w:val="21"/>
          <w:szCs w:val="21"/>
        </w:rPr>
        <w:t xml:space="preserve"> Landes mit Diabetes und Fettleibigkeit zu finden, den nach den USA zweithöchsten in der OECD. Cargill nutzte die ISDS-Klausel des Nordamerikanischen Handelsabkommens Nafta, um dem öffentlichen Haushalt Mexikos Schadenersatzzahlungen von über 70 Millionen </w:t>
      </w:r>
      <w:r>
        <w:rPr>
          <w:color w:val="000000"/>
          <w:sz w:val="21"/>
          <w:szCs w:val="21"/>
        </w:rPr>
        <w:t xml:space="preserve">US-Dollar zu entziehen. Beim WEF 2018 verpflichtete sich Cargill, „die </w:t>
      </w:r>
      <w:r>
        <w:rPr>
          <w:i/>
          <w:color w:val="000000"/>
          <w:sz w:val="21"/>
          <w:szCs w:val="21"/>
        </w:rPr>
        <w:t>soziale Ungerechtigkeit</w:t>
      </w:r>
      <w:r>
        <w:rPr>
          <w:color w:val="000000"/>
          <w:sz w:val="21"/>
          <w:szCs w:val="21"/>
        </w:rPr>
        <w:t xml:space="preserve"> mit der Kraft der Ernährung in Angriff zu nehmen.“ </w:t>
      </w:r>
    </w:p>
    <w:p w14:paraId="18864280" w14:textId="77777777" w:rsidR="001E02C3" w:rsidRDefault="001E02C3">
      <w:pPr>
        <w:spacing w:after="0" w:line="240" w:lineRule="auto"/>
        <w:rPr>
          <w:rFonts w:ascii="Times New Roman" w:eastAsia="Times New Roman" w:hAnsi="Times New Roman" w:cs="Times New Roman"/>
          <w:sz w:val="21"/>
          <w:szCs w:val="21"/>
        </w:rPr>
      </w:pPr>
    </w:p>
    <w:p w14:paraId="71B1E005" w14:textId="77777777" w:rsidR="001E02C3" w:rsidRDefault="00602A9A">
      <w:pPr>
        <w:spacing w:after="0" w:line="240" w:lineRule="auto"/>
        <w:rPr>
          <w:color w:val="000000"/>
          <w:sz w:val="21"/>
          <w:szCs w:val="21"/>
        </w:rPr>
      </w:pPr>
      <w:r>
        <w:rPr>
          <w:b/>
          <w:color w:val="000000"/>
          <w:sz w:val="21"/>
          <w:szCs w:val="21"/>
        </w:rPr>
        <w:t>Dow Chemical</w:t>
      </w:r>
      <w:hyperlink r:id="rId48">
        <w:r>
          <w:rPr>
            <w:b/>
            <w:color w:val="000000"/>
            <w:sz w:val="21"/>
            <w:szCs w:val="21"/>
            <w:u w:val="single"/>
          </w:rPr>
          <w:t xml:space="preserve"> </w:t>
        </w:r>
      </w:hyperlink>
      <w:hyperlink r:id="rId49">
        <w:r>
          <w:rPr>
            <w:color w:val="1155CC"/>
            <w:sz w:val="21"/>
            <w:szCs w:val="21"/>
            <w:u w:val="single"/>
          </w:rPr>
          <w:t>verklagte</w:t>
        </w:r>
      </w:hyperlink>
      <w:r>
        <w:rPr>
          <w:color w:val="000000"/>
          <w:sz w:val="21"/>
          <w:szCs w:val="21"/>
        </w:rPr>
        <w:t xml:space="preserve"> Kanada, nachdem Quebec die Herstellung und den Verkauf von schädlichen Pestiziden verboten hatte. </w:t>
      </w:r>
      <w:r>
        <w:rPr>
          <w:i/>
          <w:color w:val="000000"/>
          <w:sz w:val="21"/>
          <w:szCs w:val="21"/>
        </w:rPr>
        <w:t>Dow AgroSciences</w:t>
      </w:r>
      <w:r>
        <w:rPr>
          <w:color w:val="000000"/>
          <w:sz w:val="21"/>
          <w:szCs w:val="21"/>
        </w:rPr>
        <w:t xml:space="preserve"> bezeichnete den anschließenden Vergleich als Sieg, während Kommentatoren darauf </w:t>
      </w:r>
      <w:r>
        <w:rPr>
          <w:color w:val="000000"/>
          <w:sz w:val="21"/>
          <w:szCs w:val="21"/>
        </w:rPr>
        <w:t>hinwiesen, dass der Fall einschüchternde Wirkung auf andere Regierungen haben dürfte, ihre eigenen Pestizidverbote auf den Weg zu bringen.</w:t>
      </w:r>
    </w:p>
    <w:p w14:paraId="4FEC1082" w14:textId="77777777" w:rsidR="001E02C3" w:rsidRDefault="001E02C3">
      <w:pPr>
        <w:spacing w:after="0" w:line="240" w:lineRule="auto"/>
        <w:rPr>
          <w:sz w:val="21"/>
          <w:szCs w:val="21"/>
        </w:rPr>
      </w:pPr>
    </w:p>
    <w:p w14:paraId="2E422C43" w14:textId="77777777" w:rsidR="001E02C3" w:rsidRDefault="00602A9A">
      <w:pPr>
        <w:spacing w:after="0" w:line="240" w:lineRule="auto"/>
        <w:rPr>
          <w:b/>
          <w:color w:val="000000"/>
          <w:sz w:val="24"/>
          <w:szCs w:val="24"/>
        </w:rPr>
      </w:pPr>
      <w:r>
        <w:rPr>
          <w:b/>
          <w:color w:val="000000"/>
          <w:sz w:val="24"/>
          <w:szCs w:val="24"/>
        </w:rPr>
        <w:t>Vollständige Liste der WEF-Industriepartner mit laufenden oder abgeschlossenen ISDS-Klagen:</w:t>
      </w:r>
    </w:p>
    <w:p w14:paraId="3BA8C26F" w14:textId="77777777" w:rsidR="001E02C3" w:rsidRDefault="001E02C3">
      <w:pPr>
        <w:spacing w:after="0" w:line="240" w:lineRule="auto"/>
        <w:rPr>
          <w:rFonts w:ascii="Times New Roman" w:eastAsia="Times New Roman" w:hAnsi="Times New Roman" w:cs="Times New Roman"/>
          <w:sz w:val="21"/>
          <w:szCs w:val="21"/>
        </w:rPr>
      </w:pPr>
    </w:p>
    <w:tbl>
      <w:tblPr>
        <w:tblStyle w:val="a"/>
        <w:tblW w:w="10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7640"/>
      </w:tblGrid>
      <w:tr w:rsidR="001E02C3" w14:paraId="402F2C00" w14:textId="77777777">
        <w:trPr>
          <w:trHeight w:val="280"/>
        </w:trPr>
        <w:tc>
          <w:tcPr>
            <w:tcW w:w="2790" w:type="dxa"/>
            <w:shd w:val="clear" w:color="auto" w:fill="auto"/>
            <w:vAlign w:val="bottom"/>
          </w:tcPr>
          <w:p w14:paraId="5437E9B9" w14:textId="77777777" w:rsidR="001E02C3" w:rsidRDefault="00602A9A">
            <w:pPr>
              <w:spacing w:after="0" w:line="240" w:lineRule="auto"/>
              <w:ind w:left="283"/>
              <w:rPr>
                <w:b/>
                <w:color w:val="000000"/>
              </w:rPr>
            </w:pPr>
            <w:r>
              <w:rPr>
                <w:b/>
                <w:color w:val="000000"/>
              </w:rPr>
              <w:t>Unternehmen</w:t>
            </w:r>
          </w:p>
        </w:tc>
        <w:tc>
          <w:tcPr>
            <w:tcW w:w="7640" w:type="dxa"/>
            <w:shd w:val="clear" w:color="auto" w:fill="auto"/>
            <w:vAlign w:val="bottom"/>
          </w:tcPr>
          <w:p w14:paraId="000E5067" w14:textId="77777777" w:rsidR="001E02C3" w:rsidRDefault="00602A9A">
            <w:pPr>
              <w:spacing w:after="0" w:line="240" w:lineRule="auto"/>
              <w:ind w:left="283"/>
              <w:rPr>
                <w:b/>
                <w:color w:val="000000"/>
              </w:rPr>
            </w:pPr>
            <w:r>
              <w:rPr>
                <w:b/>
                <w:color w:val="000000"/>
              </w:rPr>
              <w:t>Investitionsfall</w:t>
            </w:r>
          </w:p>
        </w:tc>
      </w:tr>
      <w:tr w:rsidR="001E02C3" w14:paraId="783977F4" w14:textId="77777777">
        <w:trPr>
          <w:trHeight w:val="280"/>
        </w:trPr>
        <w:tc>
          <w:tcPr>
            <w:tcW w:w="2790" w:type="dxa"/>
            <w:shd w:val="clear" w:color="auto" w:fill="auto"/>
            <w:vAlign w:val="bottom"/>
          </w:tcPr>
          <w:p w14:paraId="6CB7D8C3" w14:textId="77777777" w:rsidR="001E02C3" w:rsidRDefault="00602A9A">
            <w:pPr>
              <w:spacing w:after="0" w:line="240" w:lineRule="auto"/>
              <w:ind w:left="283"/>
            </w:pPr>
            <w:r>
              <w:t>Agility Telecommunications</w:t>
            </w:r>
          </w:p>
        </w:tc>
        <w:tc>
          <w:tcPr>
            <w:tcW w:w="7640" w:type="dxa"/>
            <w:shd w:val="clear" w:color="auto" w:fill="auto"/>
            <w:vAlign w:val="bottom"/>
          </w:tcPr>
          <w:p w14:paraId="6403935E" w14:textId="77777777" w:rsidR="001E02C3" w:rsidRDefault="00602A9A">
            <w:pPr>
              <w:spacing w:after="0" w:line="240" w:lineRule="auto"/>
              <w:ind w:left="283"/>
              <w:rPr>
                <w:color w:val="4472C4"/>
              </w:rPr>
            </w:pPr>
            <w:hyperlink r:id="rId50">
              <w:r>
                <w:rPr>
                  <w:color w:val="4472C4"/>
                  <w:u w:val="single"/>
                </w:rPr>
                <w:t>https://investmentpolicyhub.unctad.org/ISDS/Details/793</w:t>
              </w:r>
            </w:hyperlink>
            <w:r>
              <w:rPr>
                <w:color w:val="4472C4"/>
              </w:rPr>
              <w:t xml:space="preserve"> </w:t>
            </w:r>
          </w:p>
        </w:tc>
      </w:tr>
      <w:tr w:rsidR="001E02C3" w14:paraId="34F82F80" w14:textId="77777777">
        <w:trPr>
          <w:trHeight w:val="280"/>
        </w:trPr>
        <w:tc>
          <w:tcPr>
            <w:tcW w:w="2790" w:type="dxa"/>
            <w:shd w:val="clear" w:color="auto" w:fill="auto"/>
            <w:vAlign w:val="bottom"/>
          </w:tcPr>
          <w:p w14:paraId="4FBBC0AE" w14:textId="77777777" w:rsidR="001E02C3" w:rsidRDefault="00602A9A">
            <w:pPr>
              <w:spacing w:after="0" w:line="240" w:lineRule="auto"/>
              <w:ind w:left="283"/>
            </w:pPr>
            <w:r>
              <w:t xml:space="preserve">Airbus </w:t>
            </w:r>
          </w:p>
        </w:tc>
        <w:tc>
          <w:tcPr>
            <w:tcW w:w="7640" w:type="dxa"/>
            <w:shd w:val="clear" w:color="auto" w:fill="auto"/>
            <w:vAlign w:val="bottom"/>
          </w:tcPr>
          <w:p w14:paraId="70DBA28F" w14:textId="77777777" w:rsidR="001E02C3" w:rsidRDefault="00602A9A">
            <w:pPr>
              <w:spacing w:after="0" w:line="240" w:lineRule="auto"/>
              <w:ind w:left="283"/>
              <w:rPr>
                <w:color w:val="4472C4"/>
              </w:rPr>
            </w:pPr>
            <w:hyperlink r:id="rId51">
              <w:r>
                <w:rPr>
                  <w:color w:val="4472C4"/>
                  <w:u w:val="single"/>
                </w:rPr>
                <w:t>https://investmentpolicyhub.unctad.org/ISDS/Details/907</w:t>
              </w:r>
            </w:hyperlink>
            <w:r>
              <w:rPr>
                <w:color w:val="4472C4"/>
              </w:rPr>
              <w:t xml:space="preserve"> </w:t>
            </w:r>
          </w:p>
        </w:tc>
      </w:tr>
      <w:tr w:rsidR="001E02C3" w14:paraId="4303DD6F" w14:textId="77777777">
        <w:trPr>
          <w:trHeight w:val="280"/>
        </w:trPr>
        <w:tc>
          <w:tcPr>
            <w:tcW w:w="2790" w:type="dxa"/>
            <w:shd w:val="clear" w:color="auto" w:fill="auto"/>
            <w:vAlign w:val="bottom"/>
          </w:tcPr>
          <w:p w14:paraId="30431C8A" w14:textId="77777777" w:rsidR="001E02C3" w:rsidRDefault="00602A9A">
            <w:pPr>
              <w:spacing w:after="0" w:line="240" w:lineRule="auto"/>
              <w:ind w:left="283"/>
            </w:pPr>
            <w:r>
              <w:t>DP World</w:t>
            </w:r>
          </w:p>
        </w:tc>
        <w:tc>
          <w:tcPr>
            <w:tcW w:w="7640" w:type="dxa"/>
            <w:shd w:val="clear" w:color="auto" w:fill="auto"/>
            <w:vAlign w:val="bottom"/>
          </w:tcPr>
          <w:p w14:paraId="19AAA836" w14:textId="77777777" w:rsidR="001E02C3" w:rsidRDefault="00602A9A">
            <w:pPr>
              <w:spacing w:after="0" w:line="240" w:lineRule="auto"/>
              <w:ind w:left="283"/>
              <w:rPr>
                <w:color w:val="4472C4"/>
                <w:u w:val="single"/>
              </w:rPr>
            </w:pPr>
            <w:hyperlink r:id="rId52">
              <w:r>
                <w:rPr>
                  <w:color w:val="4472C4"/>
                  <w:u w:val="single"/>
                </w:rPr>
                <w:t>https://investmentpolicyhub.unctad.org/ISDS/Details/807</w:t>
              </w:r>
            </w:hyperlink>
            <w:r>
              <w:rPr>
                <w:color w:val="4472C4"/>
                <w:u w:val="single"/>
              </w:rPr>
              <w:t xml:space="preserve"> </w:t>
            </w:r>
          </w:p>
        </w:tc>
      </w:tr>
      <w:tr w:rsidR="001E02C3" w14:paraId="0616570E" w14:textId="77777777">
        <w:trPr>
          <w:trHeight w:val="280"/>
        </w:trPr>
        <w:tc>
          <w:tcPr>
            <w:tcW w:w="2790" w:type="dxa"/>
            <w:shd w:val="clear" w:color="auto" w:fill="auto"/>
            <w:vAlign w:val="bottom"/>
          </w:tcPr>
          <w:p w14:paraId="0652BF8C" w14:textId="77777777" w:rsidR="001E02C3" w:rsidRDefault="00602A9A">
            <w:pPr>
              <w:spacing w:after="0" w:line="240" w:lineRule="auto"/>
              <w:ind w:left="283"/>
            </w:pPr>
            <w:r>
              <w:t>Iberdrola</w:t>
            </w:r>
          </w:p>
        </w:tc>
        <w:tc>
          <w:tcPr>
            <w:tcW w:w="7640" w:type="dxa"/>
            <w:shd w:val="clear" w:color="auto" w:fill="auto"/>
            <w:vAlign w:val="bottom"/>
          </w:tcPr>
          <w:p w14:paraId="2F8B17A1" w14:textId="77777777" w:rsidR="001E02C3" w:rsidRDefault="00602A9A">
            <w:pPr>
              <w:spacing w:after="0" w:line="240" w:lineRule="auto"/>
              <w:ind w:left="283"/>
              <w:rPr>
                <w:color w:val="4472C4"/>
              </w:rPr>
            </w:pPr>
            <w:hyperlink r:id="rId53">
              <w:r>
                <w:rPr>
                  <w:color w:val="4472C4"/>
                  <w:u w:val="single"/>
                </w:rPr>
                <w:t>https://investmentpolicyhub.unctad.org/ISDS/Details/901</w:t>
              </w:r>
            </w:hyperlink>
            <w:r>
              <w:rPr>
                <w:color w:val="4472C4"/>
              </w:rPr>
              <w:t xml:space="preserve"> </w:t>
            </w:r>
          </w:p>
        </w:tc>
      </w:tr>
      <w:tr w:rsidR="001E02C3" w14:paraId="775DBAE7" w14:textId="77777777">
        <w:trPr>
          <w:trHeight w:val="280"/>
        </w:trPr>
        <w:tc>
          <w:tcPr>
            <w:tcW w:w="2790" w:type="dxa"/>
            <w:shd w:val="clear" w:color="auto" w:fill="auto"/>
            <w:vAlign w:val="bottom"/>
          </w:tcPr>
          <w:p w14:paraId="22166637" w14:textId="77777777" w:rsidR="001E02C3" w:rsidRDefault="00602A9A">
            <w:pPr>
              <w:spacing w:after="0" w:line="240" w:lineRule="auto"/>
              <w:ind w:left="283"/>
            </w:pPr>
            <w:r>
              <w:t>Nissan</w:t>
            </w:r>
          </w:p>
        </w:tc>
        <w:tc>
          <w:tcPr>
            <w:tcW w:w="7640" w:type="dxa"/>
            <w:shd w:val="clear" w:color="auto" w:fill="auto"/>
            <w:vAlign w:val="bottom"/>
          </w:tcPr>
          <w:p w14:paraId="505C1350" w14:textId="77777777" w:rsidR="001E02C3" w:rsidRDefault="00602A9A">
            <w:pPr>
              <w:spacing w:after="0" w:line="240" w:lineRule="auto"/>
              <w:ind w:left="283"/>
              <w:rPr>
                <w:color w:val="4472C4"/>
                <w:u w:val="single"/>
              </w:rPr>
            </w:pPr>
            <w:hyperlink r:id="rId54">
              <w:r>
                <w:rPr>
                  <w:color w:val="4472C4"/>
                  <w:u w:val="single"/>
                </w:rPr>
                <w:t>https://investmentpolicyhub.unctad.org/ISDS/Details/828</w:t>
              </w:r>
            </w:hyperlink>
            <w:r>
              <w:rPr>
                <w:color w:val="4472C4"/>
                <w:u w:val="single"/>
              </w:rPr>
              <w:t xml:space="preserve"> </w:t>
            </w:r>
          </w:p>
        </w:tc>
      </w:tr>
      <w:tr w:rsidR="001E02C3" w14:paraId="3CDCA0BE" w14:textId="77777777">
        <w:trPr>
          <w:trHeight w:val="280"/>
        </w:trPr>
        <w:tc>
          <w:tcPr>
            <w:tcW w:w="2790" w:type="dxa"/>
            <w:shd w:val="clear" w:color="auto" w:fill="auto"/>
            <w:vAlign w:val="bottom"/>
          </w:tcPr>
          <w:p w14:paraId="61D81DC3" w14:textId="77777777" w:rsidR="001E02C3" w:rsidRDefault="00602A9A">
            <w:pPr>
              <w:spacing w:after="0" w:line="240" w:lineRule="auto"/>
              <w:ind w:left="283"/>
            </w:pPr>
            <w:r>
              <w:t>Puma Energy</w:t>
            </w:r>
          </w:p>
        </w:tc>
        <w:tc>
          <w:tcPr>
            <w:tcW w:w="7640" w:type="dxa"/>
            <w:shd w:val="clear" w:color="auto" w:fill="auto"/>
            <w:vAlign w:val="bottom"/>
          </w:tcPr>
          <w:p w14:paraId="3AFAA6C5" w14:textId="77777777" w:rsidR="001E02C3" w:rsidRDefault="00602A9A">
            <w:pPr>
              <w:spacing w:after="0" w:line="240" w:lineRule="auto"/>
              <w:ind w:left="283"/>
              <w:rPr>
                <w:color w:val="4472C4"/>
              </w:rPr>
            </w:pPr>
            <w:hyperlink r:id="rId55">
              <w:r>
                <w:rPr>
                  <w:color w:val="4472C4"/>
                  <w:u w:val="single"/>
                </w:rPr>
                <w:t>https://investmentpolicyhub.unctad.org/ISDS/Details/820</w:t>
              </w:r>
            </w:hyperlink>
            <w:r>
              <w:rPr>
                <w:color w:val="4472C4"/>
              </w:rPr>
              <w:t xml:space="preserve"> </w:t>
            </w:r>
          </w:p>
        </w:tc>
      </w:tr>
      <w:tr w:rsidR="001E02C3" w14:paraId="0D4CEC5E" w14:textId="77777777">
        <w:trPr>
          <w:trHeight w:val="280"/>
        </w:trPr>
        <w:tc>
          <w:tcPr>
            <w:tcW w:w="2790" w:type="dxa"/>
            <w:shd w:val="clear" w:color="auto" w:fill="auto"/>
            <w:vAlign w:val="bottom"/>
          </w:tcPr>
          <w:p w14:paraId="770F764E" w14:textId="77777777" w:rsidR="001E02C3" w:rsidRDefault="00602A9A">
            <w:pPr>
              <w:spacing w:after="0" w:line="240" w:lineRule="auto"/>
              <w:ind w:left="283"/>
            </w:pPr>
            <w:r>
              <w:t>Engie</w:t>
            </w:r>
          </w:p>
        </w:tc>
        <w:tc>
          <w:tcPr>
            <w:tcW w:w="7640" w:type="dxa"/>
            <w:shd w:val="clear" w:color="auto" w:fill="auto"/>
            <w:vAlign w:val="bottom"/>
          </w:tcPr>
          <w:p w14:paraId="273A9403" w14:textId="77777777" w:rsidR="001E02C3" w:rsidRDefault="00602A9A">
            <w:pPr>
              <w:spacing w:after="0" w:line="240" w:lineRule="auto"/>
              <w:ind w:left="283"/>
              <w:rPr>
                <w:color w:val="4472C4"/>
              </w:rPr>
            </w:pPr>
            <w:hyperlink r:id="rId56">
              <w:r>
                <w:rPr>
                  <w:color w:val="4472C4"/>
                  <w:u w:val="single"/>
                </w:rPr>
                <w:t>https://investmentpolicyhub.unctad.org/ISDS/</w:t>
              </w:r>
              <w:r>
                <w:rPr>
                  <w:color w:val="4472C4"/>
                  <w:u w:val="single"/>
                </w:rPr>
                <w:t>Details/712</w:t>
              </w:r>
            </w:hyperlink>
            <w:r>
              <w:rPr>
                <w:color w:val="4472C4"/>
              </w:rPr>
              <w:t xml:space="preserve"> </w:t>
            </w:r>
          </w:p>
        </w:tc>
      </w:tr>
      <w:tr w:rsidR="001E02C3" w14:paraId="20999D4D" w14:textId="77777777">
        <w:trPr>
          <w:trHeight w:val="280"/>
        </w:trPr>
        <w:tc>
          <w:tcPr>
            <w:tcW w:w="2790" w:type="dxa"/>
            <w:shd w:val="clear" w:color="auto" w:fill="auto"/>
            <w:vAlign w:val="bottom"/>
          </w:tcPr>
          <w:p w14:paraId="5B148B3E" w14:textId="77777777" w:rsidR="001E02C3" w:rsidRDefault="00602A9A">
            <w:pPr>
              <w:spacing w:after="0" w:line="240" w:lineRule="auto"/>
              <w:ind w:left="283"/>
            </w:pPr>
            <w:r>
              <w:t>Glencore</w:t>
            </w:r>
          </w:p>
        </w:tc>
        <w:tc>
          <w:tcPr>
            <w:tcW w:w="7640" w:type="dxa"/>
            <w:shd w:val="clear" w:color="auto" w:fill="auto"/>
            <w:vAlign w:val="bottom"/>
          </w:tcPr>
          <w:p w14:paraId="3E2EB319" w14:textId="77777777" w:rsidR="001E02C3" w:rsidRDefault="00602A9A">
            <w:pPr>
              <w:spacing w:after="0" w:line="240" w:lineRule="auto"/>
              <w:ind w:left="283"/>
              <w:rPr>
                <w:color w:val="4472C4"/>
              </w:rPr>
            </w:pPr>
            <w:hyperlink r:id="rId57">
              <w:r>
                <w:rPr>
                  <w:color w:val="4472C4"/>
                  <w:u w:val="single"/>
                </w:rPr>
                <w:t>https://investmentpolicyhub.unctad.org/ISDS/Details/728</w:t>
              </w:r>
            </w:hyperlink>
            <w:r>
              <w:rPr>
                <w:color w:val="4472C4"/>
              </w:rPr>
              <w:t xml:space="preserve"> </w:t>
            </w:r>
          </w:p>
        </w:tc>
      </w:tr>
      <w:tr w:rsidR="001E02C3" w14:paraId="6A32C41C" w14:textId="77777777">
        <w:trPr>
          <w:trHeight w:val="280"/>
        </w:trPr>
        <w:tc>
          <w:tcPr>
            <w:tcW w:w="2790" w:type="dxa"/>
            <w:shd w:val="clear" w:color="auto" w:fill="auto"/>
            <w:vAlign w:val="bottom"/>
          </w:tcPr>
          <w:p w14:paraId="403456EF" w14:textId="77777777" w:rsidR="001E02C3" w:rsidRDefault="00602A9A">
            <w:pPr>
              <w:spacing w:after="0" w:line="240" w:lineRule="auto"/>
              <w:ind w:left="283"/>
            </w:pPr>
            <w:r>
              <w:t>Shell</w:t>
            </w:r>
          </w:p>
        </w:tc>
        <w:tc>
          <w:tcPr>
            <w:tcW w:w="7640" w:type="dxa"/>
            <w:shd w:val="clear" w:color="auto" w:fill="auto"/>
            <w:vAlign w:val="bottom"/>
          </w:tcPr>
          <w:p w14:paraId="32F7DF00" w14:textId="77777777" w:rsidR="001E02C3" w:rsidRDefault="00602A9A">
            <w:pPr>
              <w:spacing w:after="0" w:line="240" w:lineRule="auto"/>
              <w:ind w:left="283"/>
              <w:rPr>
                <w:color w:val="4472C4"/>
              </w:rPr>
            </w:pPr>
            <w:hyperlink r:id="rId58">
              <w:r>
                <w:rPr>
                  <w:color w:val="4472C4"/>
                  <w:u w:val="single"/>
                </w:rPr>
                <w:t>https://investmentpolicyhub.unctad.org/ISDS/Details/721</w:t>
              </w:r>
            </w:hyperlink>
            <w:r>
              <w:rPr>
                <w:color w:val="4472C4"/>
              </w:rPr>
              <w:t xml:space="preserve"> </w:t>
            </w:r>
          </w:p>
        </w:tc>
      </w:tr>
      <w:tr w:rsidR="001E02C3" w14:paraId="7E8920E2" w14:textId="77777777">
        <w:trPr>
          <w:trHeight w:val="280"/>
        </w:trPr>
        <w:tc>
          <w:tcPr>
            <w:tcW w:w="2790" w:type="dxa"/>
            <w:shd w:val="clear" w:color="auto" w:fill="auto"/>
            <w:vAlign w:val="bottom"/>
          </w:tcPr>
          <w:p w14:paraId="389A6075" w14:textId="77777777" w:rsidR="001E02C3" w:rsidRDefault="00602A9A">
            <w:pPr>
              <w:spacing w:after="0" w:line="240" w:lineRule="auto"/>
              <w:ind w:left="283"/>
            </w:pPr>
            <w:r>
              <w:t>Vedanta</w:t>
            </w:r>
          </w:p>
        </w:tc>
        <w:tc>
          <w:tcPr>
            <w:tcW w:w="7640" w:type="dxa"/>
            <w:shd w:val="clear" w:color="auto" w:fill="auto"/>
            <w:vAlign w:val="bottom"/>
          </w:tcPr>
          <w:p w14:paraId="15732CC4" w14:textId="77777777" w:rsidR="001E02C3" w:rsidRDefault="00602A9A">
            <w:pPr>
              <w:spacing w:after="0" w:line="240" w:lineRule="auto"/>
              <w:ind w:left="283"/>
              <w:rPr>
                <w:color w:val="4472C4"/>
              </w:rPr>
            </w:pPr>
            <w:hyperlink r:id="rId59">
              <w:r>
                <w:rPr>
                  <w:color w:val="4472C4"/>
                  <w:u w:val="single"/>
                </w:rPr>
                <w:t>https://investmentpolicyhub.unctad.org/ISDS/Details/733</w:t>
              </w:r>
            </w:hyperlink>
            <w:r>
              <w:rPr>
                <w:color w:val="4472C4"/>
              </w:rPr>
              <w:t xml:space="preserve"> </w:t>
            </w:r>
          </w:p>
        </w:tc>
      </w:tr>
      <w:tr w:rsidR="001E02C3" w14:paraId="452F7637" w14:textId="77777777">
        <w:trPr>
          <w:trHeight w:val="280"/>
        </w:trPr>
        <w:tc>
          <w:tcPr>
            <w:tcW w:w="2790" w:type="dxa"/>
            <w:shd w:val="clear" w:color="auto" w:fill="auto"/>
            <w:vAlign w:val="bottom"/>
          </w:tcPr>
          <w:p w14:paraId="6DBF7B74" w14:textId="77777777" w:rsidR="001E02C3" w:rsidRDefault="00602A9A">
            <w:pPr>
              <w:spacing w:after="0" w:line="240" w:lineRule="auto"/>
              <w:ind w:left="283"/>
            </w:pPr>
            <w:r>
              <w:t>Arcelor Mittal</w:t>
            </w:r>
          </w:p>
        </w:tc>
        <w:tc>
          <w:tcPr>
            <w:tcW w:w="7640" w:type="dxa"/>
            <w:shd w:val="clear" w:color="auto" w:fill="auto"/>
            <w:vAlign w:val="bottom"/>
          </w:tcPr>
          <w:p w14:paraId="65F00CFF" w14:textId="77777777" w:rsidR="001E02C3" w:rsidRDefault="00602A9A">
            <w:pPr>
              <w:spacing w:after="0" w:line="240" w:lineRule="auto"/>
              <w:ind w:left="283"/>
              <w:rPr>
                <w:color w:val="4472C4"/>
              </w:rPr>
            </w:pPr>
            <w:hyperlink r:id="rId60">
              <w:r>
                <w:rPr>
                  <w:color w:val="4472C4"/>
                  <w:u w:val="single"/>
                </w:rPr>
                <w:t>https://investmentpolicyhub.unctad.org/ISDS/Details/697</w:t>
              </w:r>
            </w:hyperlink>
            <w:r>
              <w:rPr>
                <w:color w:val="4472C4"/>
              </w:rPr>
              <w:t xml:space="preserve"> </w:t>
            </w:r>
          </w:p>
        </w:tc>
      </w:tr>
      <w:tr w:rsidR="001E02C3" w14:paraId="0A286459" w14:textId="77777777">
        <w:trPr>
          <w:trHeight w:val="280"/>
        </w:trPr>
        <w:tc>
          <w:tcPr>
            <w:tcW w:w="2790" w:type="dxa"/>
            <w:shd w:val="clear" w:color="auto" w:fill="auto"/>
            <w:vAlign w:val="bottom"/>
          </w:tcPr>
          <w:p w14:paraId="48D7052E" w14:textId="77777777" w:rsidR="001E02C3" w:rsidRDefault="00602A9A">
            <w:pPr>
              <w:spacing w:after="0" w:line="240" w:lineRule="auto"/>
              <w:ind w:left="283"/>
            </w:pPr>
            <w:r>
              <w:t>Greentech</w:t>
            </w:r>
          </w:p>
        </w:tc>
        <w:tc>
          <w:tcPr>
            <w:tcW w:w="7640" w:type="dxa"/>
            <w:shd w:val="clear" w:color="auto" w:fill="auto"/>
            <w:vAlign w:val="bottom"/>
          </w:tcPr>
          <w:p w14:paraId="7BEE9072" w14:textId="77777777" w:rsidR="001E02C3" w:rsidRDefault="00602A9A">
            <w:pPr>
              <w:spacing w:after="0" w:line="240" w:lineRule="auto"/>
              <w:ind w:left="283"/>
              <w:rPr>
                <w:color w:val="4472C4"/>
              </w:rPr>
            </w:pPr>
            <w:hyperlink r:id="rId61">
              <w:r>
                <w:rPr>
                  <w:color w:val="4472C4"/>
                  <w:u w:val="single"/>
                </w:rPr>
                <w:t>https://investmentpolicyhub.unctad.org/I</w:t>
              </w:r>
              <w:r>
                <w:rPr>
                  <w:color w:val="4472C4"/>
                  <w:u w:val="single"/>
                </w:rPr>
                <w:t>SDS/Details/634</w:t>
              </w:r>
            </w:hyperlink>
            <w:r>
              <w:rPr>
                <w:color w:val="4472C4"/>
              </w:rPr>
              <w:t xml:space="preserve"> </w:t>
            </w:r>
          </w:p>
        </w:tc>
      </w:tr>
      <w:tr w:rsidR="001E02C3" w14:paraId="66102805" w14:textId="77777777">
        <w:trPr>
          <w:trHeight w:val="280"/>
        </w:trPr>
        <w:tc>
          <w:tcPr>
            <w:tcW w:w="2790" w:type="dxa"/>
            <w:shd w:val="clear" w:color="auto" w:fill="auto"/>
            <w:vAlign w:val="bottom"/>
          </w:tcPr>
          <w:p w14:paraId="4A9E526B" w14:textId="77777777" w:rsidR="001E02C3" w:rsidRDefault="00602A9A">
            <w:pPr>
              <w:spacing w:after="0" w:line="240" w:lineRule="auto"/>
              <w:ind w:left="283"/>
            </w:pPr>
            <w:r>
              <w:t>Mobil</w:t>
            </w:r>
          </w:p>
        </w:tc>
        <w:tc>
          <w:tcPr>
            <w:tcW w:w="7640" w:type="dxa"/>
            <w:shd w:val="clear" w:color="auto" w:fill="auto"/>
            <w:vAlign w:val="bottom"/>
          </w:tcPr>
          <w:p w14:paraId="36CCB388" w14:textId="77777777" w:rsidR="001E02C3" w:rsidRDefault="00602A9A">
            <w:pPr>
              <w:spacing w:after="0" w:line="240" w:lineRule="auto"/>
              <w:ind w:left="283"/>
              <w:rPr>
                <w:color w:val="4472C4"/>
              </w:rPr>
            </w:pPr>
            <w:hyperlink r:id="rId62">
              <w:r>
                <w:rPr>
                  <w:color w:val="4472C4"/>
                  <w:u w:val="single"/>
                </w:rPr>
                <w:t>https://investmentpolicyhub.unctad.org/ISDS/Details/643</w:t>
              </w:r>
            </w:hyperlink>
            <w:r>
              <w:rPr>
                <w:color w:val="4472C4"/>
              </w:rPr>
              <w:t xml:space="preserve"> </w:t>
            </w:r>
          </w:p>
        </w:tc>
      </w:tr>
      <w:tr w:rsidR="001E02C3" w14:paraId="13D717DE" w14:textId="77777777">
        <w:trPr>
          <w:trHeight w:val="280"/>
        </w:trPr>
        <w:tc>
          <w:tcPr>
            <w:tcW w:w="2790" w:type="dxa"/>
            <w:shd w:val="clear" w:color="auto" w:fill="auto"/>
            <w:vAlign w:val="bottom"/>
          </w:tcPr>
          <w:p w14:paraId="14DC29D3" w14:textId="77777777" w:rsidR="001E02C3" w:rsidRDefault="00602A9A">
            <w:pPr>
              <w:spacing w:after="0" w:line="240" w:lineRule="auto"/>
              <w:ind w:left="283"/>
            </w:pPr>
            <w:r>
              <w:t>Total</w:t>
            </w:r>
          </w:p>
        </w:tc>
        <w:tc>
          <w:tcPr>
            <w:tcW w:w="7640" w:type="dxa"/>
            <w:shd w:val="clear" w:color="auto" w:fill="auto"/>
            <w:vAlign w:val="bottom"/>
          </w:tcPr>
          <w:p w14:paraId="5D3D4D9B" w14:textId="77777777" w:rsidR="001E02C3" w:rsidRDefault="00602A9A">
            <w:pPr>
              <w:spacing w:after="0" w:line="240" w:lineRule="auto"/>
              <w:ind w:left="283"/>
              <w:rPr>
                <w:color w:val="4472C4"/>
              </w:rPr>
            </w:pPr>
            <w:hyperlink r:id="rId63">
              <w:r>
                <w:rPr>
                  <w:color w:val="4472C4"/>
                  <w:u w:val="single"/>
                </w:rPr>
                <w:t>https://investment</w:t>
              </w:r>
              <w:r>
                <w:rPr>
                  <w:color w:val="4472C4"/>
                  <w:u w:val="single"/>
                </w:rPr>
                <w:t>policyhub.unctad.org/ISDS/Details/657</w:t>
              </w:r>
            </w:hyperlink>
            <w:r>
              <w:rPr>
                <w:color w:val="4472C4"/>
              </w:rPr>
              <w:t xml:space="preserve"> </w:t>
            </w:r>
          </w:p>
        </w:tc>
      </w:tr>
      <w:tr w:rsidR="001E02C3" w14:paraId="3198FA57" w14:textId="77777777">
        <w:trPr>
          <w:trHeight w:val="280"/>
        </w:trPr>
        <w:tc>
          <w:tcPr>
            <w:tcW w:w="2790" w:type="dxa"/>
            <w:shd w:val="clear" w:color="auto" w:fill="auto"/>
            <w:vAlign w:val="bottom"/>
          </w:tcPr>
          <w:p w14:paraId="3DBB49FC" w14:textId="77777777" w:rsidR="001E02C3" w:rsidRDefault="00602A9A">
            <w:pPr>
              <w:spacing w:after="0" w:line="240" w:lineRule="auto"/>
              <w:ind w:left="283"/>
            </w:pPr>
            <w:r>
              <w:t>Anglo American</w:t>
            </w:r>
          </w:p>
        </w:tc>
        <w:tc>
          <w:tcPr>
            <w:tcW w:w="7640" w:type="dxa"/>
            <w:shd w:val="clear" w:color="auto" w:fill="auto"/>
            <w:vAlign w:val="bottom"/>
          </w:tcPr>
          <w:p w14:paraId="55121413" w14:textId="77777777" w:rsidR="001E02C3" w:rsidRDefault="00602A9A">
            <w:pPr>
              <w:spacing w:after="0" w:line="240" w:lineRule="auto"/>
              <w:ind w:left="283"/>
              <w:rPr>
                <w:color w:val="4472C4"/>
              </w:rPr>
            </w:pPr>
            <w:hyperlink r:id="rId64">
              <w:r>
                <w:rPr>
                  <w:color w:val="4472C4"/>
                  <w:u w:val="single"/>
                </w:rPr>
                <w:t>https://investmentpolicyhub.unctad.org/ISDS/Details/605</w:t>
              </w:r>
            </w:hyperlink>
            <w:r>
              <w:rPr>
                <w:color w:val="4472C4"/>
              </w:rPr>
              <w:t xml:space="preserve"> </w:t>
            </w:r>
          </w:p>
        </w:tc>
      </w:tr>
      <w:tr w:rsidR="001E02C3" w14:paraId="33D7870C" w14:textId="77777777">
        <w:trPr>
          <w:trHeight w:val="280"/>
        </w:trPr>
        <w:tc>
          <w:tcPr>
            <w:tcW w:w="2790" w:type="dxa"/>
            <w:shd w:val="clear" w:color="auto" w:fill="auto"/>
            <w:vAlign w:val="bottom"/>
          </w:tcPr>
          <w:p w14:paraId="54C8A27D" w14:textId="77777777" w:rsidR="001E02C3" w:rsidRDefault="00602A9A">
            <w:pPr>
              <w:spacing w:after="0" w:line="240" w:lineRule="auto"/>
              <w:ind w:left="283"/>
            </w:pPr>
            <w:r>
              <w:t>RWE</w:t>
            </w:r>
          </w:p>
        </w:tc>
        <w:tc>
          <w:tcPr>
            <w:tcW w:w="7640" w:type="dxa"/>
            <w:shd w:val="clear" w:color="auto" w:fill="auto"/>
            <w:vAlign w:val="bottom"/>
          </w:tcPr>
          <w:p w14:paraId="300E68CF" w14:textId="77777777" w:rsidR="001E02C3" w:rsidRDefault="00602A9A">
            <w:pPr>
              <w:spacing w:after="0" w:line="240" w:lineRule="auto"/>
              <w:ind w:left="283"/>
              <w:rPr>
                <w:color w:val="4472C4"/>
              </w:rPr>
            </w:pPr>
            <w:hyperlink r:id="rId65">
              <w:r>
                <w:rPr>
                  <w:color w:val="4472C4"/>
                  <w:u w:val="single"/>
                </w:rPr>
                <w:t>https://investmentpolicyhub.unctad.org/ISDS/Details/586</w:t>
              </w:r>
            </w:hyperlink>
            <w:r>
              <w:rPr>
                <w:color w:val="4472C4"/>
              </w:rPr>
              <w:t xml:space="preserve"> </w:t>
            </w:r>
          </w:p>
        </w:tc>
      </w:tr>
      <w:tr w:rsidR="001E02C3" w14:paraId="78D7885C" w14:textId="77777777">
        <w:trPr>
          <w:trHeight w:val="280"/>
        </w:trPr>
        <w:tc>
          <w:tcPr>
            <w:tcW w:w="2790" w:type="dxa"/>
            <w:shd w:val="clear" w:color="auto" w:fill="auto"/>
            <w:vAlign w:val="bottom"/>
          </w:tcPr>
          <w:p w14:paraId="6E649386" w14:textId="77777777" w:rsidR="001E02C3" w:rsidRDefault="00602A9A">
            <w:pPr>
              <w:spacing w:after="0" w:line="240" w:lineRule="auto"/>
              <w:ind w:left="283"/>
            </w:pPr>
            <w:r>
              <w:t>Alghanim</w:t>
            </w:r>
          </w:p>
        </w:tc>
        <w:tc>
          <w:tcPr>
            <w:tcW w:w="7640" w:type="dxa"/>
            <w:shd w:val="clear" w:color="auto" w:fill="auto"/>
            <w:vAlign w:val="bottom"/>
          </w:tcPr>
          <w:p w14:paraId="237C766A" w14:textId="77777777" w:rsidR="001E02C3" w:rsidRDefault="00602A9A">
            <w:pPr>
              <w:spacing w:after="0" w:line="240" w:lineRule="auto"/>
              <w:ind w:left="283"/>
              <w:rPr>
                <w:color w:val="4472C4"/>
              </w:rPr>
            </w:pPr>
            <w:hyperlink r:id="rId66">
              <w:r>
                <w:rPr>
                  <w:color w:val="4472C4"/>
                  <w:u w:val="single"/>
                </w:rPr>
                <w:t>https://investmentpolicyhub.unctad.org/ISDS/Details/527</w:t>
              </w:r>
            </w:hyperlink>
            <w:r>
              <w:rPr>
                <w:color w:val="4472C4"/>
              </w:rPr>
              <w:t xml:space="preserve"> </w:t>
            </w:r>
          </w:p>
        </w:tc>
      </w:tr>
      <w:tr w:rsidR="001E02C3" w14:paraId="6ECE567D" w14:textId="77777777">
        <w:trPr>
          <w:trHeight w:val="280"/>
        </w:trPr>
        <w:tc>
          <w:tcPr>
            <w:tcW w:w="2790" w:type="dxa"/>
            <w:shd w:val="clear" w:color="auto" w:fill="auto"/>
            <w:vAlign w:val="bottom"/>
          </w:tcPr>
          <w:p w14:paraId="7F97390A" w14:textId="77777777" w:rsidR="001E02C3" w:rsidRDefault="00602A9A">
            <w:pPr>
              <w:spacing w:after="0" w:line="240" w:lineRule="auto"/>
              <w:ind w:left="283"/>
            </w:pPr>
            <w:r>
              <w:t>Repsol</w:t>
            </w:r>
          </w:p>
        </w:tc>
        <w:tc>
          <w:tcPr>
            <w:tcW w:w="7640" w:type="dxa"/>
            <w:shd w:val="clear" w:color="auto" w:fill="auto"/>
            <w:vAlign w:val="bottom"/>
          </w:tcPr>
          <w:p w14:paraId="67742C24" w14:textId="77777777" w:rsidR="001E02C3" w:rsidRDefault="00602A9A">
            <w:pPr>
              <w:spacing w:after="0" w:line="240" w:lineRule="auto"/>
              <w:ind w:left="283"/>
              <w:rPr>
                <w:color w:val="4472C4"/>
              </w:rPr>
            </w:pPr>
            <w:hyperlink r:id="rId67">
              <w:r>
                <w:rPr>
                  <w:color w:val="4472C4"/>
                  <w:u w:val="single"/>
                </w:rPr>
                <w:t>https://investmentpolicyhub.unctad.org/ISDS/Details/490</w:t>
              </w:r>
            </w:hyperlink>
            <w:r>
              <w:rPr>
                <w:color w:val="4472C4"/>
              </w:rPr>
              <w:t xml:space="preserve"> </w:t>
            </w:r>
          </w:p>
        </w:tc>
      </w:tr>
      <w:tr w:rsidR="001E02C3" w14:paraId="6FA6049F" w14:textId="77777777">
        <w:trPr>
          <w:trHeight w:val="280"/>
        </w:trPr>
        <w:tc>
          <w:tcPr>
            <w:tcW w:w="2790" w:type="dxa"/>
            <w:shd w:val="clear" w:color="auto" w:fill="auto"/>
            <w:vAlign w:val="bottom"/>
          </w:tcPr>
          <w:p w14:paraId="7CD8EB73" w14:textId="77777777" w:rsidR="001E02C3" w:rsidRDefault="00602A9A">
            <w:pPr>
              <w:spacing w:after="0" w:line="240" w:lineRule="auto"/>
              <w:ind w:left="283"/>
            </w:pPr>
            <w:r>
              <w:t>Vatenfall</w:t>
            </w:r>
          </w:p>
        </w:tc>
        <w:tc>
          <w:tcPr>
            <w:tcW w:w="7640" w:type="dxa"/>
            <w:shd w:val="clear" w:color="auto" w:fill="auto"/>
            <w:vAlign w:val="bottom"/>
          </w:tcPr>
          <w:p w14:paraId="28CD864D" w14:textId="77777777" w:rsidR="001E02C3" w:rsidRDefault="00602A9A">
            <w:pPr>
              <w:spacing w:after="0" w:line="240" w:lineRule="auto"/>
              <w:ind w:left="283"/>
              <w:rPr>
                <w:color w:val="4472C4"/>
                <w:u w:val="single"/>
              </w:rPr>
            </w:pPr>
            <w:hyperlink r:id="rId68">
              <w:r>
                <w:rPr>
                  <w:color w:val="4472C4"/>
                  <w:u w:val="single"/>
                </w:rPr>
                <w:t>https://investmentpolicyhub.unctad.org/ISDS/Details/467</w:t>
              </w:r>
            </w:hyperlink>
            <w:r>
              <w:rPr>
                <w:color w:val="4472C4"/>
                <w:u w:val="single"/>
              </w:rPr>
              <w:t xml:space="preserve"> </w:t>
            </w:r>
          </w:p>
        </w:tc>
      </w:tr>
      <w:tr w:rsidR="001E02C3" w14:paraId="6C54B0B7" w14:textId="77777777">
        <w:trPr>
          <w:trHeight w:val="280"/>
        </w:trPr>
        <w:tc>
          <w:tcPr>
            <w:tcW w:w="2790" w:type="dxa"/>
            <w:shd w:val="clear" w:color="auto" w:fill="auto"/>
            <w:vAlign w:val="bottom"/>
          </w:tcPr>
          <w:p w14:paraId="4F0C40FF" w14:textId="77777777" w:rsidR="001E02C3" w:rsidRDefault="00602A9A">
            <w:pPr>
              <w:spacing w:after="0" w:line="240" w:lineRule="auto"/>
              <w:ind w:left="283"/>
            </w:pPr>
            <w:r>
              <w:t>Agility</w:t>
            </w:r>
          </w:p>
        </w:tc>
        <w:tc>
          <w:tcPr>
            <w:tcW w:w="7640" w:type="dxa"/>
            <w:shd w:val="clear" w:color="auto" w:fill="auto"/>
            <w:vAlign w:val="bottom"/>
          </w:tcPr>
          <w:p w14:paraId="24264C95" w14:textId="77777777" w:rsidR="001E02C3" w:rsidRDefault="00602A9A">
            <w:pPr>
              <w:spacing w:after="0" w:line="240" w:lineRule="auto"/>
              <w:ind w:left="283"/>
              <w:rPr>
                <w:color w:val="4472C4"/>
              </w:rPr>
            </w:pPr>
            <w:hyperlink r:id="rId69">
              <w:r>
                <w:rPr>
                  <w:color w:val="4472C4"/>
                  <w:u w:val="single"/>
                </w:rPr>
                <w:t>https://investmentpolicyhub.unctad.org/ISDS/Details/422</w:t>
              </w:r>
            </w:hyperlink>
            <w:r>
              <w:rPr>
                <w:color w:val="4472C4"/>
              </w:rPr>
              <w:t xml:space="preserve"> </w:t>
            </w:r>
          </w:p>
        </w:tc>
      </w:tr>
      <w:tr w:rsidR="001E02C3" w14:paraId="719438FB" w14:textId="77777777">
        <w:trPr>
          <w:trHeight w:val="280"/>
        </w:trPr>
        <w:tc>
          <w:tcPr>
            <w:tcW w:w="2790" w:type="dxa"/>
            <w:shd w:val="clear" w:color="auto" w:fill="auto"/>
            <w:vAlign w:val="bottom"/>
          </w:tcPr>
          <w:p w14:paraId="080C4C5A" w14:textId="77777777" w:rsidR="001E02C3" w:rsidRDefault="00602A9A">
            <w:pPr>
              <w:spacing w:after="0" w:line="240" w:lineRule="auto"/>
              <w:ind w:left="283"/>
            </w:pPr>
            <w:r>
              <w:t>Indorama</w:t>
            </w:r>
          </w:p>
        </w:tc>
        <w:tc>
          <w:tcPr>
            <w:tcW w:w="7640" w:type="dxa"/>
            <w:shd w:val="clear" w:color="auto" w:fill="auto"/>
            <w:vAlign w:val="bottom"/>
          </w:tcPr>
          <w:p w14:paraId="5AD9D383" w14:textId="77777777" w:rsidR="001E02C3" w:rsidRDefault="00602A9A">
            <w:pPr>
              <w:spacing w:after="0" w:line="240" w:lineRule="auto"/>
              <w:ind w:left="283"/>
              <w:rPr>
                <w:color w:val="4472C4"/>
              </w:rPr>
            </w:pPr>
            <w:hyperlink r:id="rId70">
              <w:r>
                <w:rPr>
                  <w:color w:val="4472C4"/>
                  <w:u w:val="single"/>
                </w:rPr>
                <w:t>https://investmentpolicyhub.unctad.org/ISDS/Details/406</w:t>
              </w:r>
            </w:hyperlink>
            <w:r>
              <w:rPr>
                <w:color w:val="4472C4"/>
              </w:rPr>
              <w:t xml:space="preserve"> </w:t>
            </w:r>
          </w:p>
        </w:tc>
      </w:tr>
      <w:tr w:rsidR="001E02C3" w14:paraId="325F04A7" w14:textId="77777777">
        <w:trPr>
          <w:trHeight w:val="280"/>
        </w:trPr>
        <w:tc>
          <w:tcPr>
            <w:tcW w:w="2790" w:type="dxa"/>
            <w:shd w:val="clear" w:color="auto" w:fill="auto"/>
            <w:vAlign w:val="bottom"/>
          </w:tcPr>
          <w:p w14:paraId="5E5AE0B4" w14:textId="77777777" w:rsidR="001E02C3" w:rsidRDefault="00602A9A">
            <w:pPr>
              <w:spacing w:after="0" w:line="240" w:lineRule="auto"/>
              <w:ind w:left="283"/>
            </w:pPr>
            <w:r>
              <w:t>Merck</w:t>
            </w:r>
          </w:p>
        </w:tc>
        <w:tc>
          <w:tcPr>
            <w:tcW w:w="7640" w:type="dxa"/>
            <w:shd w:val="clear" w:color="auto" w:fill="auto"/>
            <w:vAlign w:val="bottom"/>
          </w:tcPr>
          <w:p w14:paraId="5F6B4C67" w14:textId="77777777" w:rsidR="001E02C3" w:rsidRDefault="00602A9A">
            <w:pPr>
              <w:spacing w:after="0" w:line="240" w:lineRule="auto"/>
              <w:ind w:left="283"/>
              <w:rPr>
                <w:color w:val="4472C4"/>
              </w:rPr>
            </w:pPr>
            <w:hyperlink r:id="rId71">
              <w:r>
                <w:rPr>
                  <w:color w:val="4472C4"/>
                  <w:u w:val="single"/>
                </w:rPr>
                <w:t>https://investmentpolicyhub.unctad.org/ISDS/Details/437</w:t>
              </w:r>
            </w:hyperlink>
            <w:r>
              <w:rPr>
                <w:color w:val="4472C4"/>
              </w:rPr>
              <w:t xml:space="preserve"> </w:t>
            </w:r>
          </w:p>
        </w:tc>
      </w:tr>
      <w:tr w:rsidR="001E02C3" w14:paraId="68708AD9" w14:textId="77777777">
        <w:trPr>
          <w:trHeight w:val="280"/>
        </w:trPr>
        <w:tc>
          <w:tcPr>
            <w:tcW w:w="2790" w:type="dxa"/>
            <w:shd w:val="clear" w:color="auto" w:fill="auto"/>
            <w:vAlign w:val="bottom"/>
          </w:tcPr>
          <w:p w14:paraId="02425077" w14:textId="77777777" w:rsidR="001E02C3" w:rsidRDefault="00602A9A">
            <w:pPr>
              <w:spacing w:after="0" w:line="240" w:lineRule="auto"/>
              <w:ind w:left="283"/>
            </w:pPr>
            <w:r>
              <w:t>Chevron</w:t>
            </w:r>
          </w:p>
        </w:tc>
        <w:tc>
          <w:tcPr>
            <w:tcW w:w="7640" w:type="dxa"/>
            <w:shd w:val="clear" w:color="auto" w:fill="auto"/>
            <w:vAlign w:val="bottom"/>
          </w:tcPr>
          <w:p w14:paraId="451597E2" w14:textId="77777777" w:rsidR="001E02C3" w:rsidRDefault="00602A9A">
            <w:pPr>
              <w:spacing w:after="0" w:line="240" w:lineRule="auto"/>
              <w:ind w:left="283"/>
              <w:rPr>
                <w:color w:val="4472C4"/>
              </w:rPr>
            </w:pPr>
            <w:hyperlink r:id="rId72">
              <w:r>
                <w:rPr>
                  <w:color w:val="4472C4"/>
                  <w:u w:val="single"/>
                </w:rPr>
                <w:t>https://investmentpolicyhub.unctad.org/ISDS/Details/341</w:t>
              </w:r>
            </w:hyperlink>
            <w:r>
              <w:rPr>
                <w:color w:val="4472C4"/>
              </w:rPr>
              <w:t xml:space="preserve"> </w:t>
            </w:r>
          </w:p>
        </w:tc>
      </w:tr>
      <w:tr w:rsidR="001E02C3" w14:paraId="160E88D8" w14:textId="77777777">
        <w:trPr>
          <w:trHeight w:val="280"/>
        </w:trPr>
        <w:tc>
          <w:tcPr>
            <w:tcW w:w="2790" w:type="dxa"/>
            <w:shd w:val="clear" w:color="auto" w:fill="auto"/>
            <w:vAlign w:val="bottom"/>
          </w:tcPr>
          <w:p w14:paraId="408B9E31" w14:textId="77777777" w:rsidR="001E02C3" w:rsidRDefault="00602A9A">
            <w:pPr>
              <w:spacing w:after="0" w:line="240" w:lineRule="auto"/>
              <w:ind w:left="283"/>
            </w:pPr>
            <w:r>
              <w:t>Deutsche Bank</w:t>
            </w:r>
          </w:p>
        </w:tc>
        <w:tc>
          <w:tcPr>
            <w:tcW w:w="7640" w:type="dxa"/>
            <w:shd w:val="clear" w:color="auto" w:fill="auto"/>
            <w:vAlign w:val="bottom"/>
          </w:tcPr>
          <w:p w14:paraId="4740A534" w14:textId="77777777" w:rsidR="001E02C3" w:rsidRDefault="00602A9A">
            <w:pPr>
              <w:spacing w:after="0" w:line="240" w:lineRule="auto"/>
              <w:ind w:left="283"/>
              <w:rPr>
                <w:color w:val="4472C4"/>
              </w:rPr>
            </w:pPr>
            <w:hyperlink r:id="rId73">
              <w:r>
                <w:rPr>
                  <w:color w:val="4472C4"/>
                  <w:u w:val="single"/>
                </w:rPr>
                <w:t>https://investmentpolicyhub.unctad.o</w:t>
              </w:r>
              <w:r>
                <w:rPr>
                  <w:color w:val="4472C4"/>
                  <w:u w:val="single"/>
                </w:rPr>
                <w:t>rg/ISDS/Details/337</w:t>
              </w:r>
            </w:hyperlink>
            <w:r>
              <w:rPr>
                <w:color w:val="4472C4"/>
              </w:rPr>
              <w:t xml:space="preserve"> </w:t>
            </w:r>
          </w:p>
        </w:tc>
      </w:tr>
      <w:tr w:rsidR="001E02C3" w14:paraId="1F4B5D61" w14:textId="77777777">
        <w:trPr>
          <w:trHeight w:val="280"/>
        </w:trPr>
        <w:tc>
          <w:tcPr>
            <w:tcW w:w="2790" w:type="dxa"/>
            <w:shd w:val="clear" w:color="auto" w:fill="auto"/>
            <w:vAlign w:val="bottom"/>
          </w:tcPr>
          <w:p w14:paraId="46A48ED9" w14:textId="77777777" w:rsidR="001E02C3" w:rsidRDefault="00602A9A">
            <w:pPr>
              <w:spacing w:after="0" w:line="240" w:lineRule="auto"/>
              <w:ind w:left="283"/>
            </w:pPr>
            <w:r>
              <w:t>Dow</w:t>
            </w:r>
          </w:p>
        </w:tc>
        <w:tc>
          <w:tcPr>
            <w:tcW w:w="7640" w:type="dxa"/>
            <w:shd w:val="clear" w:color="auto" w:fill="auto"/>
            <w:vAlign w:val="bottom"/>
          </w:tcPr>
          <w:p w14:paraId="32090681" w14:textId="77777777" w:rsidR="001E02C3" w:rsidRDefault="00602A9A">
            <w:pPr>
              <w:spacing w:after="0" w:line="240" w:lineRule="auto"/>
              <w:ind w:left="283"/>
              <w:rPr>
                <w:color w:val="4472C4"/>
              </w:rPr>
            </w:pPr>
            <w:hyperlink r:id="rId74">
              <w:r>
                <w:rPr>
                  <w:color w:val="4472C4"/>
                  <w:u w:val="single"/>
                </w:rPr>
                <w:t>https://investmentpolicyhub.unctad.org/ISDS/Details/345</w:t>
              </w:r>
            </w:hyperlink>
            <w:r>
              <w:rPr>
                <w:color w:val="4472C4"/>
              </w:rPr>
              <w:t xml:space="preserve"> </w:t>
            </w:r>
          </w:p>
        </w:tc>
      </w:tr>
      <w:tr w:rsidR="001E02C3" w14:paraId="491D7CF1" w14:textId="77777777">
        <w:trPr>
          <w:trHeight w:val="280"/>
        </w:trPr>
        <w:tc>
          <w:tcPr>
            <w:tcW w:w="2790" w:type="dxa"/>
            <w:shd w:val="clear" w:color="auto" w:fill="auto"/>
            <w:vAlign w:val="bottom"/>
          </w:tcPr>
          <w:p w14:paraId="294A15E6" w14:textId="77777777" w:rsidR="001E02C3" w:rsidRDefault="00602A9A">
            <w:pPr>
              <w:spacing w:after="0" w:line="240" w:lineRule="auto"/>
              <w:ind w:left="283"/>
            </w:pPr>
            <w:r>
              <w:t>A.P. Møller-Maersk</w:t>
            </w:r>
          </w:p>
        </w:tc>
        <w:tc>
          <w:tcPr>
            <w:tcW w:w="7640" w:type="dxa"/>
            <w:shd w:val="clear" w:color="auto" w:fill="auto"/>
            <w:vAlign w:val="bottom"/>
          </w:tcPr>
          <w:p w14:paraId="1A36F338" w14:textId="77777777" w:rsidR="001E02C3" w:rsidRDefault="00602A9A">
            <w:pPr>
              <w:spacing w:after="0" w:line="240" w:lineRule="auto"/>
              <w:ind w:left="283"/>
              <w:rPr>
                <w:color w:val="4472C4"/>
              </w:rPr>
            </w:pPr>
            <w:hyperlink r:id="rId75">
              <w:r>
                <w:rPr>
                  <w:color w:val="4472C4"/>
                  <w:u w:val="single"/>
                </w:rPr>
                <w:t>htt</w:t>
              </w:r>
              <w:r>
                <w:rPr>
                  <w:color w:val="4472C4"/>
                  <w:u w:val="single"/>
                </w:rPr>
                <w:t>ps://investmentpolicyhub.unctad.org/ISDS/Details/336</w:t>
              </w:r>
            </w:hyperlink>
            <w:r>
              <w:rPr>
                <w:color w:val="4472C4"/>
              </w:rPr>
              <w:t xml:space="preserve"> </w:t>
            </w:r>
          </w:p>
        </w:tc>
      </w:tr>
      <w:tr w:rsidR="001E02C3" w14:paraId="62C01736" w14:textId="77777777">
        <w:trPr>
          <w:trHeight w:val="280"/>
        </w:trPr>
        <w:tc>
          <w:tcPr>
            <w:tcW w:w="2790" w:type="dxa"/>
            <w:shd w:val="clear" w:color="auto" w:fill="auto"/>
            <w:vAlign w:val="bottom"/>
          </w:tcPr>
          <w:p w14:paraId="0B4EFBFA" w14:textId="77777777" w:rsidR="001E02C3" w:rsidRDefault="00602A9A">
            <w:pPr>
              <w:spacing w:after="0" w:line="240" w:lineRule="auto"/>
              <w:ind w:left="283"/>
            </w:pPr>
            <w:r>
              <w:t>Mercuria Energy</w:t>
            </w:r>
          </w:p>
        </w:tc>
        <w:tc>
          <w:tcPr>
            <w:tcW w:w="7640" w:type="dxa"/>
            <w:shd w:val="clear" w:color="auto" w:fill="auto"/>
            <w:vAlign w:val="bottom"/>
          </w:tcPr>
          <w:p w14:paraId="702551CD" w14:textId="77777777" w:rsidR="001E02C3" w:rsidRDefault="00602A9A">
            <w:pPr>
              <w:spacing w:after="0" w:line="240" w:lineRule="auto"/>
              <w:ind w:left="283"/>
              <w:rPr>
                <w:color w:val="4472C4"/>
              </w:rPr>
            </w:pPr>
            <w:hyperlink r:id="rId76">
              <w:r>
                <w:rPr>
                  <w:color w:val="4472C4"/>
                  <w:u w:val="single"/>
                </w:rPr>
                <w:t>https://investmentpolicyhub.unctad.org/ISDS/Details/322</w:t>
              </w:r>
            </w:hyperlink>
            <w:r>
              <w:rPr>
                <w:color w:val="4472C4"/>
              </w:rPr>
              <w:t xml:space="preserve"> </w:t>
            </w:r>
          </w:p>
        </w:tc>
      </w:tr>
      <w:tr w:rsidR="001E02C3" w14:paraId="6AF87CC6" w14:textId="77777777">
        <w:trPr>
          <w:trHeight w:val="280"/>
        </w:trPr>
        <w:tc>
          <w:tcPr>
            <w:tcW w:w="2790" w:type="dxa"/>
            <w:shd w:val="clear" w:color="auto" w:fill="auto"/>
            <w:vAlign w:val="bottom"/>
          </w:tcPr>
          <w:p w14:paraId="7E4768A0" w14:textId="77777777" w:rsidR="001E02C3" w:rsidRDefault="00602A9A">
            <w:pPr>
              <w:spacing w:after="0" w:line="240" w:lineRule="auto"/>
              <w:ind w:left="283"/>
            </w:pPr>
            <w:r>
              <w:t>Turkcell</w:t>
            </w:r>
          </w:p>
        </w:tc>
        <w:tc>
          <w:tcPr>
            <w:tcW w:w="7640" w:type="dxa"/>
            <w:shd w:val="clear" w:color="auto" w:fill="auto"/>
            <w:vAlign w:val="bottom"/>
          </w:tcPr>
          <w:p w14:paraId="1485C58D" w14:textId="77777777" w:rsidR="001E02C3" w:rsidRDefault="00602A9A">
            <w:pPr>
              <w:spacing w:after="0" w:line="240" w:lineRule="auto"/>
              <w:ind w:left="283"/>
              <w:rPr>
                <w:color w:val="4472C4"/>
              </w:rPr>
            </w:pPr>
            <w:hyperlink r:id="rId77">
              <w:r>
                <w:rPr>
                  <w:color w:val="4472C4"/>
                  <w:u w:val="single"/>
                </w:rPr>
                <w:t>https://investmentpolicyhub.unctad.org/ISDS/Details/288</w:t>
              </w:r>
            </w:hyperlink>
            <w:r>
              <w:rPr>
                <w:color w:val="4472C4"/>
              </w:rPr>
              <w:t xml:space="preserve"> </w:t>
            </w:r>
          </w:p>
        </w:tc>
      </w:tr>
      <w:tr w:rsidR="001E02C3" w14:paraId="2ADA4E4B" w14:textId="77777777">
        <w:trPr>
          <w:trHeight w:val="280"/>
        </w:trPr>
        <w:tc>
          <w:tcPr>
            <w:tcW w:w="2790" w:type="dxa"/>
            <w:shd w:val="clear" w:color="auto" w:fill="auto"/>
            <w:vAlign w:val="bottom"/>
          </w:tcPr>
          <w:p w14:paraId="59D7ADDE" w14:textId="77777777" w:rsidR="001E02C3" w:rsidRDefault="00602A9A">
            <w:pPr>
              <w:spacing w:after="0" w:line="240" w:lineRule="auto"/>
              <w:ind w:left="283"/>
            </w:pPr>
            <w:r>
              <w:t>Eni</w:t>
            </w:r>
          </w:p>
        </w:tc>
        <w:tc>
          <w:tcPr>
            <w:tcW w:w="7640" w:type="dxa"/>
            <w:shd w:val="clear" w:color="auto" w:fill="auto"/>
            <w:vAlign w:val="bottom"/>
          </w:tcPr>
          <w:p w14:paraId="4235F3E4" w14:textId="77777777" w:rsidR="001E02C3" w:rsidRDefault="00602A9A">
            <w:pPr>
              <w:spacing w:after="0" w:line="240" w:lineRule="auto"/>
              <w:ind w:left="283"/>
              <w:rPr>
                <w:color w:val="4472C4"/>
              </w:rPr>
            </w:pPr>
            <w:hyperlink r:id="rId78">
              <w:r>
                <w:rPr>
                  <w:color w:val="4472C4"/>
                  <w:u w:val="single"/>
                </w:rPr>
                <w:t>https://investmentpolicyhub.unctad.org/ISDS/Details/265</w:t>
              </w:r>
            </w:hyperlink>
            <w:r>
              <w:rPr>
                <w:color w:val="4472C4"/>
              </w:rPr>
              <w:t xml:space="preserve"> </w:t>
            </w:r>
          </w:p>
        </w:tc>
      </w:tr>
      <w:tr w:rsidR="001E02C3" w14:paraId="0CEE450A" w14:textId="77777777">
        <w:trPr>
          <w:trHeight w:val="280"/>
        </w:trPr>
        <w:tc>
          <w:tcPr>
            <w:tcW w:w="2790" w:type="dxa"/>
            <w:shd w:val="clear" w:color="auto" w:fill="auto"/>
            <w:vAlign w:val="bottom"/>
          </w:tcPr>
          <w:p w14:paraId="13FA4C45" w14:textId="77777777" w:rsidR="001E02C3" w:rsidRDefault="00602A9A">
            <w:pPr>
              <w:spacing w:after="0" w:line="240" w:lineRule="auto"/>
              <w:ind w:left="283"/>
            </w:pPr>
            <w:r>
              <w:t>Cargill</w:t>
            </w:r>
          </w:p>
        </w:tc>
        <w:tc>
          <w:tcPr>
            <w:tcW w:w="7640" w:type="dxa"/>
            <w:shd w:val="clear" w:color="auto" w:fill="auto"/>
            <w:vAlign w:val="bottom"/>
          </w:tcPr>
          <w:p w14:paraId="044CAF50" w14:textId="77777777" w:rsidR="001E02C3" w:rsidRDefault="00602A9A">
            <w:pPr>
              <w:spacing w:after="0" w:line="240" w:lineRule="auto"/>
              <w:ind w:left="283"/>
              <w:rPr>
                <w:color w:val="4472C4"/>
              </w:rPr>
            </w:pPr>
            <w:hyperlink r:id="rId79">
              <w:r>
                <w:rPr>
                  <w:color w:val="4472C4"/>
                  <w:u w:val="single"/>
                </w:rPr>
                <w:t>https://investmentpolicyhub.unctad.org/ISDS/Details/204</w:t>
              </w:r>
            </w:hyperlink>
            <w:r>
              <w:rPr>
                <w:color w:val="4472C4"/>
              </w:rPr>
              <w:t xml:space="preserve"> </w:t>
            </w:r>
          </w:p>
        </w:tc>
      </w:tr>
      <w:tr w:rsidR="001E02C3" w14:paraId="204CA15A" w14:textId="77777777">
        <w:trPr>
          <w:trHeight w:val="280"/>
        </w:trPr>
        <w:tc>
          <w:tcPr>
            <w:tcW w:w="2790" w:type="dxa"/>
            <w:shd w:val="clear" w:color="auto" w:fill="auto"/>
            <w:vAlign w:val="bottom"/>
          </w:tcPr>
          <w:p w14:paraId="2BDB5438" w14:textId="77777777" w:rsidR="001E02C3" w:rsidRDefault="00602A9A">
            <w:pPr>
              <w:spacing w:after="0" w:line="240" w:lineRule="auto"/>
              <w:ind w:left="283"/>
            </w:pPr>
            <w:r>
              <w:t>ArcelorMittal</w:t>
            </w:r>
          </w:p>
        </w:tc>
        <w:tc>
          <w:tcPr>
            <w:tcW w:w="7640" w:type="dxa"/>
            <w:shd w:val="clear" w:color="auto" w:fill="auto"/>
            <w:vAlign w:val="bottom"/>
          </w:tcPr>
          <w:p w14:paraId="183ABC0B" w14:textId="77777777" w:rsidR="001E02C3" w:rsidRDefault="00602A9A">
            <w:pPr>
              <w:spacing w:after="0" w:line="240" w:lineRule="auto"/>
              <w:ind w:left="283"/>
              <w:rPr>
                <w:color w:val="4472C4"/>
              </w:rPr>
            </w:pPr>
            <w:hyperlink r:id="rId80">
              <w:r>
                <w:rPr>
                  <w:color w:val="4472C4"/>
                  <w:u w:val="single"/>
                </w:rPr>
                <w:t>https://investmentpolicyhub.unctad.org/ISDS/Details/197</w:t>
              </w:r>
            </w:hyperlink>
            <w:r>
              <w:rPr>
                <w:color w:val="4472C4"/>
              </w:rPr>
              <w:t xml:space="preserve"> </w:t>
            </w:r>
          </w:p>
        </w:tc>
      </w:tr>
      <w:tr w:rsidR="001E02C3" w14:paraId="3248C3D0" w14:textId="77777777">
        <w:trPr>
          <w:trHeight w:val="280"/>
        </w:trPr>
        <w:tc>
          <w:tcPr>
            <w:tcW w:w="2790" w:type="dxa"/>
            <w:shd w:val="clear" w:color="auto" w:fill="auto"/>
            <w:vAlign w:val="bottom"/>
          </w:tcPr>
          <w:p w14:paraId="36D6CBBE" w14:textId="77777777" w:rsidR="001E02C3" w:rsidRDefault="00602A9A">
            <w:pPr>
              <w:spacing w:after="0" w:line="240" w:lineRule="auto"/>
              <w:ind w:left="283"/>
            </w:pPr>
            <w:r>
              <w:t>Saipem</w:t>
            </w:r>
          </w:p>
        </w:tc>
        <w:tc>
          <w:tcPr>
            <w:tcW w:w="7640" w:type="dxa"/>
            <w:shd w:val="clear" w:color="auto" w:fill="auto"/>
            <w:vAlign w:val="bottom"/>
          </w:tcPr>
          <w:p w14:paraId="69530DE4" w14:textId="77777777" w:rsidR="001E02C3" w:rsidRDefault="00602A9A">
            <w:pPr>
              <w:spacing w:after="0" w:line="240" w:lineRule="auto"/>
              <w:ind w:left="283"/>
              <w:rPr>
                <w:color w:val="4472C4"/>
              </w:rPr>
            </w:pPr>
            <w:hyperlink r:id="rId81">
              <w:r>
                <w:rPr>
                  <w:color w:val="4472C4"/>
                  <w:u w:val="single"/>
                </w:rPr>
                <w:t>https://investmentpolicyhub.unctad.org/ISDS/Details/207</w:t>
              </w:r>
            </w:hyperlink>
            <w:r>
              <w:rPr>
                <w:color w:val="4472C4"/>
              </w:rPr>
              <w:t xml:space="preserve"> </w:t>
            </w:r>
          </w:p>
        </w:tc>
      </w:tr>
      <w:tr w:rsidR="001E02C3" w14:paraId="0C293892" w14:textId="77777777">
        <w:trPr>
          <w:trHeight w:val="280"/>
        </w:trPr>
        <w:tc>
          <w:tcPr>
            <w:tcW w:w="2790" w:type="dxa"/>
            <w:shd w:val="clear" w:color="auto" w:fill="auto"/>
            <w:vAlign w:val="bottom"/>
          </w:tcPr>
          <w:p w14:paraId="2C8CD031" w14:textId="77777777" w:rsidR="001E02C3" w:rsidRDefault="00602A9A">
            <w:pPr>
              <w:spacing w:after="0" w:line="240" w:lineRule="auto"/>
              <w:ind w:left="283"/>
            </w:pPr>
            <w:r>
              <w:t>ScotiaBank</w:t>
            </w:r>
          </w:p>
        </w:tc>
        <w:tc>
          <w:tcPr>
            <w:tcW w:w="7640" w:type="dxa"/>
            <w:shd w:val="clear" w:color="auto" w:fill="auto"/>
            <w:vAlign w:val="bottom"/>
          </w:tcPr>
          <w:p w14:paraId="311BA22C" w14:textId="77777777" w:rsidR="001E02C3" w:rsidRDefault="00602A9A">
            <w:pPr>
              <w:spacing w:after="0" w:line="240" w:lineRule="auto"/>
              <w:ind w:left="283"/>
              <w:rPr>
                <w:color w:val="4472C4"/>
              </w:rPr>
            </w:pPr>
            <w:hyperlink r:id="rId82">
              <w:r>
                <w:rPr>
                  <w:color w:val="4472C4"/>
                  <w:u w:val="single"/>
                </w:rPr>
                <w:t>https://investmentpolicyhub.unctad.org/ISDS/Details/209</w:t>
              </w:r>
            </w:hyperlink>
            <w:r>
              <w:rPr>
                <w:color w:val="4472C4"/>
              </w:rPr>
              <w:t xml:space="preserve"> </w:t>
            </w:r>
          </w:p>
        </w:tc>
      </w:tr>
      <w:tr w:rsidR="001E02C3" w14:paraId="69850A9C" w14:textId="77777777">
        <w:trPr>
          <w:trHeight w:val="280"/>
        </w:trPr>
        <w:tc>
          <w:tcPr>
            <w:tcW w:w="2790" w:type="dxa"/>
            <w:shd w:val="clear" w:color="auto" w:fill="auto"/>
            <w:vAlign w:val="bottom"/>
          </w:tcPr>
          <w:p w14:paraId="246BF090" w14:textId="77777777" w:rsidR="001E02C3" w:rsidRDefault="00602A9A">
            <w:pPr>
              <w:spacing w:after="0" w:line="240" w:lineRule="auto"/>
              <w:ind w:left="283"/>
            </w:pPr>
            <w:r>
              <w:t>ABN Amro</w:t>
            </w:r>
          </w:p>
        </w:tc>
        <w:tc>
          <w:tcPr>
            <w:tcW w:w="7640" w:type="dxa"/>
            <w:shd w:val="clear" w:color="auto" w:fill="auto"/>
            <w:vAlign w:val="bottom"/>
          </w:tcPr>
          <w:p w14:paraId="5BF88EA4" w14:textId="77777777" w:rsidR="001E02C3" w:rsidRDefault="00602A9A">
            <w:pPr>
              <w:spacing w:after="0" w:line="240" w:lineRule="auto"/>
              <w:ind w:left="283"/>
              <w:rPr>
                <w:color w:val="4472C4"/>
              </w:rPr>
            </w:pPr>
            <w:hyperlink r:id="rId83">
              <w:r>
                <w:rPr>
                  <w:color w:val="4472C4"/>
                  <w:u w:val="single"/>
                </w:rPr>
                <w:t>https://investmentpolicyhub.unctad.org/ISDS/Details/14</w:t>
              </w:r>
              <w:r>
                <w:rPr>
                  <w:color w:val="4472C4"/>
                  <w:u w:val="single"/>
                </w:rPr>
                <w:t>9</w:t>
              </w:r>
            </w:hyperlink>
            <w:r>
              <w:rPr>
                <w:color w:val="4472C4"/>
              </w:rPr>
              <w:t xml:space="preserve"> </w:t>
            </w:r>
          </w:p>
        </w:tc>
      </w:tr>
      <w:tr w:rsidR="001E02C3" w14:paraId="6240F827" w14:textId="77777777">
        <w:trPr>
          <w:trHeight w:val="280"/>
        </w:trPr>
        <w:tc>
          <w:tcPr>
            <w:tcW w:w="2790" w:type="dxa"/>
            <w:shd w:val="clear" w:color="auto" w:fill="auto"/>
            <w:vAlign w:val="bottom"/>
          </w:tcPr>
          <w:p w14:paraId="2FF4E521" w14:textId="77777777" w:rsidR="001E02C3" w:rsidRDefault="00602A9A">
            <w:pPr>
              <w:spacing w:after="0" w:line="240" w:lineRule="auto"/>
              <w:ind w:left="283"/>
            </w:pPr>
            <w:r>
              <w:t>Credit Suisse</w:t>
            </w:r>
          </w:p>
        </w:tc>
        <w:tc>
          <w:tcPr>
            <w:tcW w:w="7640" w:type="dxa"/>
            <w:shd w:val="clear" w:color="auto" w:fill="auto"/>
            <w:vAlign w:val="bottom"/>
          </w:tcPr>
          <w:p w14:paraId="6106F063" w14:textId="77777777" w:rsidR="001E02C3" w:rsidRDefault="00602A9A">
            <w:pPr>
              <w:spacing w:after="0" w:line="240" w:lineRule="auto"/>
              <w:ind w:left="283"/>
              <w:rPr>
                <w:color w:val="4472C4"/>
              </w:rPr>
            </w:pPr>
            <w:hyperlink r:id="rId84">
              <w:r>
                <w:rPr>
                  <w:color w:val="4472C4"/>
                  <w:u w:val="single"/>
                </w:rPr>
                <w:t>https://investmentpolicyhub.unctad.org/ISDS/Details/150</w:t>
              </w:r>
            </w:hyperlink>
            <w:r>
              <w:rPr>
                <w:color w:val="4472C4"/>
              </w:rPr>
              <w:t xml:space="preserve"> </w:t>
            </w:r>
          </w:p>
        </w:tc>
      </w:tr>
      <w:tr w:rsidR="001E02C3" w14:paraId="3EF65CAC" w14:textId="77777777">
        <w:trPr>
          <w:trHeight w:val="280"/>
        </w:trPr>
        <w:tc>
          <w:tcPr>
            <w:tcW w:w="2790" w:type="dxa"/>
            <w:shd w:val="clear" w:color="auto" w:fill="auto"/>
            <w:vAlign w:val="bottom"/>
          </w:tcPr>
          <w:p w14:paraId="717CE979" w14:textId="77777777" w:rsidR="001E02C3" w:rsidRDefault="00602A9A">
            <w:pPr>
              <w:spacing w:after="0" w:line="240" w:lineRule="auto"/>
              <w:ind w:left="283"/>
            </w:pPr>
            <w:r>
              <w:t>Standard Chartered</w:t>
            </w:r>
          </w:p>
        </w:tc>
        <w:tc>
          <w:tcPr>
            <w:tcW w:w="7640" w:type="dxa"/>
            <w:shd w:val="clear" w:color="auto" w:fill="auto"/>
            <w:vAlign w:val="bottom"/>
          </w:tcPr>
          <w:p w14:paraId="6015CA14" w14:textId="77777777" w:rsidR="001E02C3" w:rsidRDefault="00602A9A">
            <w:pPr>
              <w:spacing w:after="0" w:line="240" w:lineRule="auto"/>
              <w:ind w:left="283"/>
              <w:rPr>
                <w:color w:val="4472C4"/>
              </w:rPr>
            </w:pPr>
            <w:hyperlink r:id="rId85">
              <w:r>
                <w:rPr>
                  <w:color w:val="4472C4"/>
                  <w:u w:val="single"/>
                </w:rPr>
                <w:t>https://investmentpolicyhub.unctad.org/ISDS/Details/152</w:t>
              </w:r>
            </w:hyperlink>
            <w:r>
              <w:rPr>
                <w:color w:val="4472C4"/>
              </w:rPr>
              <w:t xml:space="preserve"> </w:t>
            </w:r>
          </w:p>
        </w:tc>
      </w:tr>
      <w:tr w:rsidR="001E02C3" w14:paraId="2FF6D5F8" w14:textId="77777777">
        <w:trPr>
          <w:trHeight w:val="280"/>
        </w:trPr>
        <w:tc>
          <w:tcPr>
            <w:tcW w:w="2790" w:type="dxa"/>
            <w:shd w:val="clear" w:color="auto" w:fill="auto"/>
            <w:vAlign w:val="bottom"/>
          </w:tcPr>
          <w:p w14:paraId="0C4E128C" w14:textId="77777777" w:rsidR="001E02C3" w:rsidRDefault="00602A9A">
            <w:pPr>
              <w:spacing w:after="0" w:line="240" w:lineRule="auto"/>
              <w:ind w:left="283"/>
            </w:pPr>
            <w:r>
              <w:t>Telenor</w:t>
            </w:r>
          </w:p>
        </w:tc>
        <w:tc>
          <w:tcPr>
            <w:tcW w:w="7640" w:type="dxa"/>
            <w:shd w:val="clear" w:color="auto" w:fill="auto"/>
            <w:vAlign w:val="bottom"/>
          </w:tcPr>
          <w:p w14:paraId="2A2A3317" w14:textId="77777777" w:rsidR="001E02C3" w:rsidRDefault="00602A9A">
            <w:pPr>
              <w:spacing w:after="0" w:line="240" w:lineRule="auto"/>
              <w:ind w:left="283"/>
              <w:rPr>
                <w:color w:val="4472C4"/>
                <w:u w:val="single"/>
              </w:rPr>
            </w:pPr>
            <w:hyperlink r:id="rId86">
              <w:r>
                <w:rPr>
                  <w:color w:val="4472C4"/>
                  <w:u w:val="single"/>
                </w:rPr>
                <w:t>https://investmentpolicyhub.unctad.org/ISDS/Details/158</w:t>
              </w:r>
            </w:hyperlink>
            <w:r>
              <w:rPr>
                <w:color w:val="4472C4"/>
                <w:u w:val="single"/>
              </w:rPr>
              <w:t xml:space="preserve"> </w:t>
            </w:r>
          </w:p>
        </w:tc>
      </w:tr>
      <w:tr w:rsidR="001E02C3" w14:paraId="7F3C0313" w14:textId="77777777">
        <w:trPr>
          <w:trHeight w:val="280"/>
        </w:trPr>
        <w:tc>
          <w:tcPr>
            <w:tcW w:w="2790" w:type="dxa"/>
            <w:shd w:val="clear" w:color="auto" w:fill="auto"/>
            <w:vAlign w:val="bottom"/>
          </w:tcPr>
          <w:p w14:paraId="2B7B520D" w14:textId="77777777" w:rsidR="001E02C3" w:rsidRDefault="00602A9A">
            <w:pPr>
              <w:spacing w:after="0" w:line="240" w:lineRule="auto"/>
              <w:ind w:left="283"/>
            </w:pPr>
            <w:r>
              <w:t>IBM</w:t>
            </w:r>
          </w:p>
        </w:tc>
        <w:tc>
          <w:tcPr>
            <w:tcW w:w="7640" w:type="dxa"/>
            <w:shd w:val="clear" w:color="auto" w:fill="auto"/>
            <w:vAlign w:val="bottom"/>
          </w:tcPr>
          <w:p w14:paraId="35079716" w14:textId="77777777" w:rsidR="001E02C3" w:rsidRDefault="00602A9A">
            <w:pPr>
              <w:spacing w:after="0" w:line="240" w:lineRule="auto"/>
              <w:ind w:left="283"/>
              <w:rPr>
                <w:color w:val="4472C4"/>
              </w:rPr>
            </w:pPr>
            <w:hyperlink r:id="rId87">
              <w:r>
                <w:rPr>
                  <w:color w:val="4472C4"/>
                  <w:u w:val="single"/>
                </w:rPr>
                <w:t>https://investmentpolicyhub.unctad.org/ISDS/Details/94</w:t>
              </w:r>
            </w:hyperlink>
            <w:r>
              <w:rPr>
                <w:color w:val="4472C4"/>
              </w:rPr>
              <w:t xml:space="preserve"> </w:t>
            </w:r>
          </w:p>
        </w:tc>
      </w:tr>
      <w:tr w:rsidR="001E02C3" w14:paraId="41800DD8" w14:textId="77777777">
        <w:trPr>
          <w:trHeight w:val="280"/>
        </w:trPr>
        <w:tc>
          <w:tcPr>
            <w:tcW w:w="2790" w:type="dxa"/>
            <w:shd w:val="clear" w:color="auto" w:fill="auto"/>
            <w:vAlign w:val="bottom"/>
          </w:tcPr>
          <w:p w14:paraId="3C4EF92C" w14:textId="77777777" w:rsidR="001E02C3" w:rsidRDefault="00602A9A">
            <w:pPr>
              <w:spacing w:after="0" w:line="240" w:lineRule="auto"/>
              <w:ind w:left="283"/>
            </w:pPr>
            <w:r>
              <w:t>Occidental</w:t>
            </w:r>
          </w:p>
        </w:tc>
        <w:tc>
          <w:tcPr>
            <w:tcW w:w="7640" w:type="dxa"/>
            <w:shd w:val="clear" w:color="auto" w:fill="auto"/>
            <w:vAlign w:val="bottom"/>
          </w:tcPr>
          <w:p w14:paraId="3CB9DDD5" w14:textId="77777777" w:rsidR="001E02C3" w:rsidRDefault="00602A9A">
            <w:pPr>
              <w:spacing w:after="0" w:line="240" w:lineRule="auto"/>
              <w:ind w:left="283"/>
              <w:rPr>
                <w:color w:val="4472C4"/>
              </w:rPr>
            </w:pPr>
            <w:hyperlink r:id="rId88">
              <w:r>
                <w:rPr>
                  <w:color w:val="4472C4"/>
                  <w:u w:val="single"/>
                </w:rPr>
                <w:t>https://investmentpolicyhub.unctad.org/ISD</w:t>
              </w:r>
              <w:r>
                <w:rPr>
                  <w:color w:val="4472C4"/>
                  <w:u w:val="single"/>
                </w:rPr>
                <w:t>S/Details/76</w:t>
              </w:r>
            </w:hyperlink>
            <w:r>
              <w:rPr>
                <w:color w:val="4472C4"/>
              </w:rPr>
              <w:t xml:space="preserve"> </w:t>
            </w:r>
          </w:p>
        </w:tc>
      </w:tr>
      <w:tr w:rsidR="001E02C3" w14:paraId="7073B1AD" w14:textId="77777777">
        <w:trPr>
          <w:trHeight w:val="280"/>
        </w:trPr>
        <w:tc>
          <w:tcPr>
            <w:tcW w:w="2790" w:type="dxa"/>
            <w:shd w:val="clear" w:color="auto" w:fill="auto"/>
            <w:vAlign w:val="bottom"/>
          </w:tcPr>
          <w:p w14:paraId="689FECA9" w14:textId="77777777" w:rsidR="001E02C3" w:rsidRDefault="00602A9A">
            <w:pPr>
              <w:spacing w:after="0" w:line="240" w:lineRule="auto"/>
              <w:ind w:left="283"/>
            </w:pPr>
            <w:r>
              <w:t>Siemens</w:t>
            </w:r>
          </w:p>
        </w:tc>
        <w:tc>
          <w:tcPr>
            <w:tcW w:w="7640" w:type="dxa"/>
            <w:shd w:val="clear" w:color="auto" w:fill="auto"/>
            <w:vAlign w:val="bottom"/>
          </w:tcPr>
          <w:p w14:paraId="5A46FD63" w14:textId="77777777" w:rsidR="001E02C3" w:rsidRDefault="00602A9A">
            <w:pPr>
              <w:spacing w:after="0" w:line="240" w:lineRule="auto"/>
              <w:ind w:left="283"/>
              <w:rPr>
                <w:color w:val="4472C4"/>
              </w:rPr>
            </w:pPr>
            <w:hyperlink r:id="rId89">
              <w:r>
                <w:rPr>
                  <w:color w:val="4472C4"/>
                  <w:u w:val="single"/>
                </w:rPr>
                <w:t>https://investmentpolicyhub.unctad.org/ISDS/Details/77</w:t>
              </w:r>
            </w:hyperlink>
            <w:r>
              <w:rPr>
                <w:color w:val="4472C4"/>
              </w:rPr>
              <w:t xml:space="preserve"> </w:t>
            </w:r>
          </w:p>
        </w:tc>
      </w:tr>
      <w:tr w:rsidR="001E02C3" w14:paraId="3897EAAF" w14:textId="77777777">
        <w:trPr>
          <w:trHeight w:val="280"/>
        </w:trPr>
        <w:tc>
          <w:tcPr>
            <w:tcW w:w="2790" w:type="dxa"/>
            <w:shd w:val="clear" w:color="auto" w:fill="auto"/>
            <w:vAlign w:val="bottom"/>
          </w:tcPr>
          <w:p w14:paraId="21743D93" w14:textId="77777777" w:rsidR="001E02C3" w:rsidRDefault="00602A9A">
            <w:pPr>
              <w:spacing w:after="0" w:line="240" w:lineRule="auto"/>
              <w:ind w:left="283"/>
            </w:pPr>
            <w:r>
              <w:t>AIG</w:t>
            </w:r>
          </w:p>
        </w:tc>
        <w:tc>
          <w:tcPr>
            <w:tcW w:w="7640" w:type="dxa"/>
            <w:shd w:val="clear" w:color="auto" w:fill="auto"/>
            <w:vAlign w:val="bottom"/>
          </w:tcPr>
          <w:p w14:paraId="036AF078" w14:textId="77777777" w:rsidR="001E02C3" w:rsidRDefault="00602A9A">
            <w:pPr>
              <w:spacing w:after="0" w:line="240" w:lineRule="auto"/>
              <w:ind w:left="283"/>
              <w:rPr>
                <w:color w:val="4472C4"/>
              </w:rPr>
            </w:pPr>
            <w:hyperlink r:id="rId90">
              <w:r>
                <w:rPr>
                  <w:color w:val="4472C4"/>
                  <w:u w:val="single"/>
                </w:rPr>
                <w:t>https://investmentpolicyhub.unctad.org/ISDS/Details/72</w:t>
              </w:r>
            </w:hyperlink>
            <w:r>
              <w:rPr>
                <w:color w:val="4472C4"/>
              </w:rPr>
              <w:t xml:space="preserve"> </w:t>
            </w:r>
          </w:p>
        </w:tc>
      </w:tr>
      <w:tr w:rsidR="001E02C3" w14:paraId="4A753661" w14:textId="77777777">
        <w:trPr>
          <w:trHeight w:val="280"/>
        </w:trPr>
        <w:tc>
          <w:tcPr>
            <w:tcW w:w="2790" w:type="dxa"/>
            <w:shd w:val="clear" w:color="auto" w:fill="auto"/>
            <w:vAlign w:val="bottom"/>
          </w:tcPr>
          <w:p w14:paraId="3713132B" w14:textId="77777777" w:rsidR="001E02C3" w:rsidRDefault="00602A9A">
            <w:pPr>
              <w:spacing w:after="0" w:line="240" w:lineRule="auto"/>
              <w:ind w:left="283"/>
            </w:pPr>
            <w:r>
              <w:t>UPS</w:t>
            </w:r>
          </w:p>
        </w:tc>
        <w:tc>
          <w:tcPr>
            <w:tcW w:w="7640" w:type="dxa"/>
            <w:shd w:val="clear" w:color="auto" w:fill="auto"/>
            <w:vAlign w:val="bottom"/>
          </w:tcPr>
          <w:p w14:paraId="71D3190F" w14:textId="77777777" w:rsidR="001E02C3" w:rsidRDefault="00602A9A">
            <w:pPr>
              <w:spacing w:after="0" w:line="240" w:lineRule="auto"/>
              <w:ind w:left="283"/>
              <w:rPr>
                <w:color w:val="4472C4"/>
                <w:u w:val="single"/>
              </w:rPr>
            </w:pPr>
            <w:hyperlink r:id="rId91">
              <w:r>
                <w:rPr>
                  <w:color w:val="4472C4"/>
                  <w:u w:val="single"/>
                </w:rPr>
                <w:t xml:space="preserve">https://investmentpolicyhub.unctad.org/ISDS/Details/51  </w:t>
              </w:r>
            </w:hyperlink>
          </w:p>
        </w:tc>
      </w:tr>
    </w:tbl>
    <w:p w14:paraId="0DB410AA" w14:textId="77777777" w:rsidR="001E02C3" w:rsidRDefault="001E02C3">
      <w:pPr>
        <w:spacing w:after="0" w:line="240" w:lineRule="auto"/>
        <w:rPr>
          <w:rFonts w:ascii="Times New Roman" w:eastAsia="Times New Roman" w:hAnsi="Times New Roman" w:cs="Times New Roman"/>
          <w:sz w:val="21"/>
          <w:szCs w:val="21"/>
        </w:rPr>
      </w:pPr>
    </w:p>
    <w:sectPr w:rsidR="001E02C3">
      <w:footerReference w:type="default" r:id="rId92"/>
      <w:pgSz w:w="11906" w:h="16838"/>
      <w:pgMar w:top="794" w:right="737" w:bottom="567" w:left="737" w:header="709"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5F00D" w14:textId="77777777" w:rsidR="00000000" w:rsidRDefault="00602A9A">
      <w:pPr>
        <w:spacing w:after="0" w:line="240" w:lineRule="auto"/>
      </w:pPr>
      <w:r>
        <w:separator/>
      </w:r>
    </w:p>
  </w:endnote>
  <w:endnote w:type="continuationSeparator" w:id="0">
    <w:p w14:paraId="3118DE54" w14:textId="77777777" w:rsidR="00000000" w:rsidRDefault="00602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0493C" w14:textId="77777777" w:rsidR="001E02C3" w:rsidRDefault="00602A9A">
    <w:pPr>
      <w:spacing w:after="0" w:line="240" w:lineRule="auto"/>
      <w:rPr>
        <w:b/>
        <w:sz w:val="24"/>
        <w:szCs w:val="24"/>
      </w:rPr>
    </w:pPr>
    <w:r>
      <w:rPr>
        <w:b/>
        <w:color w:val="000000"/>
        <w:sz w:val="18"/>
        <w:szCs w:val="18"/>
      </w:rPr>
      <w:t xml:space="preserve">Pressekontakt </w:t>
    </w:r>
  </w:p>
  <w:p w14:paraId="68B65058" w14:textId="77777777" w:rsidR="001E02C3" w:rsidRDefault="00602A9A">
    <w:pPr>
      <w:spacing w:after="0" w:line="240" w:lineRule="auto"/>
      <w:rPr>
        <w:sz w:val="18"/>
        <w:szCs w:val="18"/>
      </w:rPr>
    </w:pPr>
    <w:r>
      <w:rPr>
        <w:sz w:val="18"/>
        <w:szCs w:val="18"/>
      </w:rPr>
      <w:t xml:space="preserve">In Davos: Nelly Grotefendt - Stop ISDS Coalition| +49 176 800 35462 </w:t>
    </w:r>
    <w:hyperlink r:id="rId1">
      <w:r>
        <w:rPr>
          <w:sz w:val="18"/>
          <w:szCs w:val="18"/>
        </w:rPr>
        <w:t>Grotefendt@forumue.d</w:t>
      </w:r>
    </w:hyperlink>
    <w:r>
      <w:rPr>
        <w:sz w:val="18"/>
        <w:szCs w:val="18"/>
      </w:rPr>
      <w:t xml:space="preserve">e </w:t>
    </w:r>
  </w:p>
  <w:p w14:paraId="35354019" w14:textId="77777777" w:rsidR="001E02C3" w:rsidRDefault="00602A9A">
    <w:pPr>
      <w:spacing w:after="0" w:line="240" w:lineRule="auto"/>
      <w:rPr>
        <w:sz w:val="18"/>
        <w:szCs w:val="18"/>
      </w:rPr>
    </w:pPr>
    <w:r>
      <w:rPr>
        <w:sz w:val="18"/>
        <w:szCs w:val="18"/>
      </w:rPr>
      <w:t xml:space="preserve">Alex Scrivener - Stop ISDS Coalition Spokesperson | +31 6 25 58 29 03 |  </w:t>
    </w:r>
    <w:hyperlink r:id="rId2">
      <w:r>
        <w:rPr>
          <w:color w:val="1155CC"/>
          <w:sz w:val="18"/>
          <w:szCs w:val="18"/>
          <w:u w:val="single"/>
        </w:rPr>
        <w:t>alex@S2Bnetwork.org</w:t>
      </w:r>
    </w:hyperlink>
  </w:p>
  <w:p w14:paraId="56E8C9C9" w14:textId="77777777" w:rsidR="001E02C3" w:rsidRDefault="00602A9A">
    <w:pPr>
      <w:spacing w:after="0" w:line="240" w:lineRule="auto"/>
      <w:rPr>
        <w:b/>
        <w:sz w:val="18"/>
        <w:szCs w:val="18"/>
      </w:rPr>
    </w:pPr>
    <w:r>
      <w:rPr>
        <w:sz w:val="18"/>
        <w:szCs w:val="18"/>
      </w:rPr>
      <w:t xml:space="preserve">Leo Hyde - Public Services International | +33770059557 | </w:t>
    </w:r>
    <w:r>
      <w:rPr>
        <w:color w:val="1155CC"/>
        <w:sz w:val="18"/>
        <w:szCs w:val="18"/>
      </w:rPr>
      <w:t>leo.hyde@world-psi.org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60B2B" w14:textId="77777777" w:rsidR="00000000" w:rsidRDefault="00602A9A">
      <w:pPr>
        <w:spacing w:after="0" w:line="240" w:lineRule="auto"/>
      </w:pPr>
      <w:r>
        <w:separator/>
      </w:r>
    </w:p>
  </w:footnote>
  <w:footnote w:type="continuationSeparator" w:id="0">
    <w:p w14:paraId="607A010F" w14:textId="77777777" w:rsidR="00000000" w:rsidRDefault="00602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243E8"/>
    <w:multiLevelType w:val="multilevel"/>
    <w:tmpl w:val="B9EC4A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C3"/>
    <w:rsid w:val="001E02C3"/>
    <w:rsid w:val="00602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4A6AFC"/>
  <w15:docId w15:val="{1AADBB18-383B-4C2C-8090-251F2846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GB"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world-psi.org/en/investment-court-system-ics-wolf-sheeps-clothing" TargetMode="External"/><Relationship Id="rId21" Type="http://schemas.openxmlformats.org/officeDocument/2006/relationships/hyperlink" Target="https://tobacco.ucsf.edu/chief-justice-australia-raises-concerns-about-investor-state-provisions-free-trade-agreements-threat-democracy" TargetMode="External"/><Relationship Id="rId42" Type="http://schemas.openxmlformats.org/officeDocument/2006/relationships/hyperlink" Target="https://investmentpolicyhub.unctad.org/ISDS/Details/721" TargetMode="External"/><Relationship Id="rId47" Type="http://schemas.openxmlformats.org/officeDocument/2006/relationships/hyperlink" Target="https://www.iisd.org/itn/2018/10/18/siemens-v-argentina/" TargetMode="External"/><Relationship Id="rId63" Type="http://schemas.openxmlformats.org/officeDocument/2006/relationships/hyperlink" Target="https://investmentpolicyhub.unctad.org/ISDS/Details/657" TargetMode="External"/><Relationship Id="rId68" Type="http://schemas.openxmlformats.org/officeDocument/2006/relationships/hyperlink" Target="https://investmentpolicyhub.unctad.org/ISDS/Details/467" TargetMode="External"/><Relationship Id="rId84" Type="http://schemas.openxmlformats.org/officeDocument/2006/relationships/hyperlink" Target="https://investmentpolicyhub.unctad.org/ISDS/Details/150" TargetMode="External"/><Relationship Id="rId89" Type="http://schemas.openxmlformats.org/officeDocument/2006/relationships/hyperlink" Target="https://investmentpolicyhub.unctad.org/ISDS/Details/77" TargetMode="External"/><Relationship Id="rId16" Type="http://schemas.openxmlformats.org/officeDocument/2006/relationships/hyperlink" Target="https://canadians.org/media/trade/2011/27-May-11.html" TargetMode="External"/><Relationship Id="rId11" Type="http://schemas.openxmlformats.org/officeDocument/2006/relationships/hyperlink" Target="https://stopisds.org/?password-protected=login&amp;redirect_to=https%3A%2F%2Fstopisds.org%2Falliance%2F" TargetMode="External"/><Relationship Id="rId32" Type="http://schemas.openxmlformats.org/officeDocument/2006/relationships/hyperlink" Target="http://aftinet.org.au/cms/node/1624" TargetMode="External"/><Relationship Id="rId37" Type="http://schemas.openxmlformats.org/officeDocument/2006/relationships/hyperlink" Target="https://af.reuters.com/article/ugandaNews/idAFL6N0WW4NE20150331" TargetMode="External"/><Relationship Id="rId53" Type="http://schemas.openxmlformats.org/officeDocument/2006/relationships/hyperlink" Target="https://investmentpolicyhub.unctad.org/ISDS/Details/901" TargetMode="External"/><Relationship Id="rId58" Type="http://schemas.openxmlformats.org/officeDocument/2006/relationships/hyperlink" Target="https://investmentpolicyhub.unctad.org/ISDS/Details/721" TargetMode="External"/><Relationship Id="rId74" Type="http://schemas.openxmlformats.org/officeDocument/2006/relationships/hyperlink" Target="https://investmentpolicyhub.unctad.org/ISDS/Details/345" TargetMode="External"/><Relationship Id="rId79" Type="http://schemas.openxmlformats.org/officeDocument/2006/relationships/hyperlink" Target="https://investmentpolicyhub.unctad.org/ISDS/Details/204" TargetMode="External"/><Relationship Id="rId5" Type="http://schemas.openxmlformats.org/officeDocument/2006/relationships/styles" Target="styles.xml"/><Relationship Id="rId90" Type="http://schemas.openxmlformats.org/officeDocument/2006/relationships/hyperlink" Target="https://investmentpolicyhub.unctad.org/ISDS/Details/72" TargetMode="External"/><Relationship Id="rId22" Type="http://schemas.openxmlformats.org/officeDocument/2006/relationships/hyperlink" Target="https://www.greens-efa.eu/en/article/press/ecj-rules-that-intra-eu-isds-mechanisms-are-illegal/" TargetMode="External"/><Relationship Id="rId27" Type="http://schemas.openxmlformats.org/officeDocument/2006/relationships/hyperlink" Target="http://www.oecd.org/daf/inv/investment-policy/WP-2012_3.pdf" TargetMode="External"/><Relationship Id="rId43" Type="http://schemas.openxmlformats.org/officeDocument/2006/relationships/hyperlink" Target="https://investmentpolicyhub.unctad.org/ISDS/Details/721" TargetMode="External"/><Relationship Id="rId48" Type="http://schemas.openxmlformats.org/officeDocument/2006/relationships/hyperlink" Target="https://canadians.org/media/trade/2011/27-May-11.html" TargetMode="External"/><Relationship Id="rId64" Type="http://schemas.openxmlformats.org/officeDocument/2006/relationships/hyperlink" Target="https://investmentpolicyhub.unctad.org/ISDS/Details/605" TargetMode="External"/><Relationship Id="rId69" Type="http://schemas.openxmlformats.org/officeDocument/2006/relationships/hyperlink" Target="https://investmentpolicyhub.unctad.org/ISDS/Details/422" TargetMode="External"/><Relationship Id="rId8" Type="http://schemas.openxmlformats.org/officeDocument/2006/relationships/footnotes" Target="footnotes.xml"/><Relationship Id="rId51" Type="http://schemas.openxmlformats.org/officeDocument/2006/relationships/hyperlink" Target="https://investmentpolicyhub.unctad.org/ISDS/Details/907" TargetMode="External"/><Relationship Id="rId72" Type="http://schemas.openxmlformats.org/officeDocument/2006/relationships/hyperlink" Target="https://investmentpolicyhub.unctad.org/ISDS/Details/341" TargetMode="External"/><Relationship Id="rId80" Type="http://schemas.openxmlformats.org/officeDocument/2006/relationships/hyperlink" Target="https://investmentpolicyhub.unctad.org/ISDS/Details/197" TargetMode="External"/><Relationship Id="rId85" Type="http://schemas.openxmlformats.org/officeDocument/2006/relationships/hyperlink" Target="https://investmentpolicyhub.unctad.org/ISDS/Details/152"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reuters.com/article/canada-mexico-cargill/nafta-award-to-cargill-against-mexico-stands-idUSL1E8G9HV420120510" TargetMode="External"/><Relationship Id="rId17" Type="http://schemas.openxmlformats.org/officeDocument/2006/relationships/hyperlink" Target="http://www.world-psi.org/en/psi-wants-binding-treaty-protect-human-rights-corporate-abuse" TargetMode="External"/><Relationship Id="rId25" Type="http://schemas.openxmlformats.org/officeDocument/2006/relationships/hyperlink" Target="http://www.world-psi.org/en/investment-court-system-ics-wolf-sheeps-clothing" TargetMode="External"/><Relationship Id="rId33" Type="http://schemas.openxmlformats.org/officeDocument/2006/relationships/hyperlink" Target="https://www.greenpeace.ch/wp-content/uploads/2016/06/Glencore.pdf" TargetMode="External"/><Relationship Id="rId38" Type="http://schemas.openxmlformats.org/officeDocument/2006/relationships/hyperlink" Target="https://af.reuters.com/article/ugandaNews/idAFL6N0WW4NE20150331" TargetMode="External"/><Relationship Id="rId46" Type="http://schemas.openxmlformats.org/officeDocument/2006/relationships/hyperlink" Target="https://www.iisd.org/itn/2018/10/18/siemens-v-argentina/" TargetMode="External"/><Relationship Id="rId59" Type="http://schemas.openxmlformats.org/officeDocument/2006/relationships/hyperlink" Target="https://investmentpolicyhub.unctad.org/ISDS/Details/733" TargetMode="External"/><Relationship Id="rId67" Type="http://schemas.openxmlformats.org/officeDocument/2006/relationships/hyperlink" Target="https://investmentpolicyhub.unctad.org/ISDS/Details/490" TargetMode="External"/><Relationship Id="rId20" Type="http://schemas.openxmlformats.org/officeDocument/2006/relationships/hyperlink" Target="http://www.iisd.org/itn/wp-content/uploads/2015/06/itn-breaking-news-june-2015-isds-who-wins-more-investors-or-state.pdf?utm_source=lists.iisd.ca&amp;utm_medium=email&amp;utm_campaign=ITN+Breaking+News+Analysis+-+ISDS:+Who+Wins+More,+Investors+or+States?" TargetMode="External"/><Relationship Id="rId41" Type="http://schemas.openxmlformats.org/officeDocument/2006/relationships/hyperlink" Target="https://investmentpolicyhub.unctad.org/ISDS/Details/288" TargetMode="External"/><Relationship Id="rId54" Type="http://schemas.openxmlformats.org/officeDocument/2006/relationships/hyperlink" Target="https://investmentpolicyhub.unctad.org/ISDS/Details/828" TargetMode="External"/><Relationship Id="rId62" Type="http://schemas.openxmlformats.org/officeDocument/2006/relationships/hyperlink" Target="https://investmentpolicyhub.unctad.org/ISDS/Details/643" TargetMode="External"/><Relationship Id="rId70" Type="http://schemas.openxmlformats.org/officeDocument/2006/relationships/hyperlink" Target="https://investmentpolicyhub.unctad.org/ISDS/Details/406" TargetMode="External"/><Relationship Id="rId75" Type="http://schemas.openxmlformats.org/officeDocument/2006/relationships/hyperlink" Target="https://investmentpolicyhub.unctad.org/ISDS/Details/336" TargetMode="External"/><Relationship Id="rId83" Type="http://schemas.openxmlformats.org/officeDocument/2006/relationships/hyperlink" Target="https://investmentpolicyhub.unctad.org/ISDS/Details/149" TargetMode="External"/><Relationship Id="rId88" Type="http://schemas.openxmlformats.org/officeDocument/2006/relationships/hyperlink" Target="https://investmentpolicyhub.unctad.org/ISDS/Details/76" TargetMode="External"/><Relationship Id="rId91" Type="http://schemas.openxmlformats.org/officeDocument/2006/relationships/hyperlink" Target="https://investmentpolicyhub.unctad.org/ISDS/Details/51"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ubliceye.ch/en/media-corner/press-releases/detail/compulsory-licensing-in-colombia-leaked-documents-show-aggressive-lobbying-by-novartis" TargetMode="External"/><Relationship Id="rId23" Type="http://schemas.openxmlformats.org/officeDocument/2006/relationships/hyperlink" Target="https://corporateeurope.org/international-trade/2015/02/ttip-investor-rights-many-voices-ignored-commission" TargetMode="External"/><Relationship Id="rId28" Type="http://schemas.openxmlformats.org/officeDocument/2006/relationships/hyperlink" Target="https://www.tni.org/en/briefing/profiting-injustice" TargetMode="External"/><Relationship Id="rId36" Type="http://schemas.openxmlformats.org/officeDocument/2006/relationships/hyperlink" Target="https://www.thestar.com/news/canada/2015/03/13/oil-giants-win-17m-from-ottawa-under-nafta.html" TargetMode="External"/><Relationship Id="rId49" Type="http://schemas.openxmlformats.org/officeDocument/2006/relationships/hyperlink" Target="https://canadians.org/media/trade/2011/27-May-11.html" TargetMode="External"/><Relationship Id="rId57" Type="http://schemas.openxmlformats.org/officeDocument/2006/relationships/hyperlink" Target="https://investmentpolicyhub.unctad.org/ISDS/Details/728" TargetMode="External"/><Relationship Id="rId10" Type="http://schemas.openxmlformats.org/officeDocument/2006/relationships/hyperlink" Target="https://www.google.com/maps/place/Leihbibliothek+Davos/@46.8012245,9.8292924,15z/data=!4m5!3m4!1s0x0:0x894be61e1010d073!8m2!3d46.8012245!4d9.8292924" TargetMode="External"/><Relationship Id="rId31" Type="http://schemas.openxmlformats.org/officeDocument/2006/relationships/hyperlink" Target="https://isds.bilaterals.org/?case-study-vattenfall-v-germany-i" TargetMode="External"/><Relationship Id="rId44" Type="http://schemas.openxmlformats.org/officeDocument/2006/relationships/hyperlink" Target="https://investmentpolicyhub.unctad.org/ISDS/Details/150" TargetMode="External"/><Relationship Id="rId52" Type="http://schemas.openxmlformats.org/officeDocument/2006/relationships/hyperlink" Target="https://investmentpolicyhub.unctad.org/ISDS/Details/807" TargetMode="External"/><Relationship Id="rId60" Type="http://schemas.openxmlformats.org/officeDocument/2006/relationships/hyperlink" Target="https://investmentpolicyhub.unctad.org/ISDS/Details/697" TargetMode="External"/><Relationship Id="rId65" Type="http://schemas.openxmlformats.org/officeDocument/2006/relationships/hyperlink" Target="https://investmentpolicyhub.unctad.org/ISDS/Details/586" TargetMode="External"/><Relationship Id="rId73" Type="http://schemas.openxmlformats.org/officeDocument/2006/relationships/hyperlink" Target="https://investmentpolicyhub.unctad.org/ISDS/Details/337" TargetMode="External"/><Relationship Id="rId78" Type="http://schemas.openxmlformats.org/officeDocument/2006/relationships/hyperlink" Target="https://investmentpolicyhub.unctad.org/ISDS/Details/265" TargetMode="External"/><Relationship Id="rId81" Type="http://schemas.openxmlformats.org/officeDocument/2006/relationships/hyperlink" Target="https://investmentpolicyhub.unctad.org/ISDS/Details/207" TargetMode="External"/><Relationship Id="rId86" Type="http://schemas.openxmlformats.org/officeDocument/2006/relationships/hyperlink" Target="https://investmentpolicyhub.unctad.org/ISDS/Details/158" TargetMode="External"/><Relationship Id="rId9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youtube.com/watch?v=iLA6kbER22U" TargetMode="External"/><Relationship Id="rId18" Type="http://schemas.openxmlformats.org/officeDocument/2006/relationships/hyperlink" Target="http://www.world-psi.org/en/psi-wants-binding-treaty-protect-human-rights-corporate-abuse" TargetMode="External"/><Relationship Id="rId39" Type="http://schemas.openxmlformats.org/officeDocument/2006/relationships/hyperlink" Target="https://investmentpolicyhub.unctad.org/ISDS/Details/209" TargetMode="External"/><Relationship Id="rId34" Type="http://schemas.openxmlformats.org/officeDocument/2006/relationships/hyperlink" Target="https://isds.bilaterals.org/?engie-files-arbitration-case&amp;lang=es" TargetMode="External"/><Relationship Id="rId50" Type="http://schemas.openxmlformats.org/officeDocument/2006/relationships/hyperlink" Target="https://investmentpolicyhub.unctad.org/ISDS/Details/793" TargetMode="External"/><Relationship Id="rId55" Type="http://schemas.openxmlformats.org/officeDocument/2006/relationships/hyperlink" Target="https://investmentpolicyhub.unctad.org/ISDS/Details/820" TargetMode="External"/><Relationship Id="rId76" Type="http://schemas.openxmlformats.org/officeDocument/2006/relationships/hyperlink" Target="https://investmentpolicyhub.unctad.org/ISDS/Details/322" TargetMode="External"/><Relationship Id="rId7" Type="http://schemas.openxmlformats.org/officeDocument/2006/relationships/webSettings" Target="webSettings.xml"/><Relationship Id="rId71" Type="http://schemas.openxmlformats.org/officeDocument/2006/relationships/hyperlink" Target="https://investmentpolicyhub.unctad.org/ISDS/Details/437"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axelberger.wordpress.com/2015/03/12/is-isds-really-needed-to-promote-foreign-investments/" TargetMode="External"/><Relationship Id="rId24" Type="http://schemas.openxmlformats.org/officeDocument/2006/relationships/hyperlink" Target="https://www.politico.eu/article/isds-the-most-toxic-acronym-in-europe/" TargetMode="External"/><Relationship Id="rId40" Type="http://schemas.openxmlformats.org/officeDocument/2006/relationships/hyperlink" Target="https://investmentpolicyhub.unctad.org/ISDS/Details/209" TargetMode="External"/><Relationship Id="rId45" Type="http://schemas.openxmlformats.org/officeDocument/2006/relationships/hyperlink" Target="https://investmentpolicyhub.unctad.org/ISDS/Details/150" TargetMode="External"/><Relationship Id="rId66" Type="http://schemas.openxmlformats.org/officeDocument/2006/relationships/hyperlink" Target="https://investmentpolicyhub.unctad.org/ISDS/Details/527" TargetMode="External"/><Relationship Id="rId87" Type="http://schemas.openxmlformats.org/officeDocument/2006/relationships/hyperlink" Target="https://investmentpolicyhub.unctad.org/ISDS/Details/94" TargetMode="External"/><Relationship Id="rId61" Type="http://schemas.openxmlformats.org/officeDocument/2006/relationships/hyperlink" Target="https://investmentpolicyhub.unctad.org/ISDS/Details/634" TargetMode="External"/><Relationship Id="rId82" Type="http://schemas.openxmlformats.org/officeDocument/2006/relationships/hyperlink" Target="https://investmentpolicyhub.unctad.org/ISDS/Details/209" TargetMode="External"/><Relationship Id="rId19" Type="http://schemas.openxmlformats.org/officeDocument/2006/relationships/hyperlink" Target="http://unctad.org/en/PublicationsLibrary/webdiaepcb2015d1_en.pdf" TargetMode="External"/><Relationship Id="rId14" Type="http://schemas.openxmlformats.org/officeDocument/2006/relationships/hyperlink" Target="https://www.publiceye.ch/en/media-corner/press-releases/detail/compulsory-licensing-in-colombia-leaked-documents-show-aggressive-lobbying-by-novartis" TargetMode="External"/><Relationship Id="rId30" Type="http://schemas.openxmlformats.org/officeDocument/2006/relationships/hyperlink" Target="https://investmentpolicyhub.unctad.org/ISDS/Details/467" TargetMode="External"/><Relationship Id="rId35" Type="http://schemas.openxmlformats.org/officeDocument/2006/relationships/hyperlink" Target="https://isds.bilaterals.org/?engie-files-arbitration-case&amp;lang=es" TargetMode="External"/><Relationship Id="rId56" Type="http://schemas.openxmlformats.org/officeDocument/2006/relationships/hyperlink" Target="https://investmentpolicyhub.unctad.org/ISDS/Details/712" TargetMode="External"/><Relationship Id="rId77" Type="http://schemas.openxmlformats.org/officeDocument/2006/relationships/hyperlink" Target="https://investmentpolicyhub.unctad.org/ISDS/Details/28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lex@S2Bnetwork.org" TargetMode="External"/><Relationship Id="rId1" Type="http://schemas.openxmlformats.org/officeDocument/2006/relationships/hyperlink" Target="mailto:Grotefendt@forumu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FD555B204A9341A8D22D756BDB1A4D" ma:contentTypeVersion="10" ma:contentTypeDescription="Create a new document." ma:contentTypeScope="" ma:versionID="ce7c92faa2000dfa83d642ce08be1f17">
  <xsd:schema xmlns:xsd="http://www.w3.org/2001/XMLSchema" xmlns:xs="http://www.w3.org/2001/XMLSchema" xmlns:p="http://schemas.microsoft.com/office/2006/metadata/properties" xmlns:ns2="8d6927f4-c973-4202-a55f-12d8001ea014" xmlns:ns3="e25f48ca-0323-4f04-8017-0e8f59a74e5d" targetNamespace="http://schemas.microsoft.com/office/2006/metadata/properties" ma:root="true" ma:fieldsID="1baa85ca88f5a50731c5f58ab30dbeb4" ns2:_="" ns3:_="">
    <xsd:import namespace="8d6927f4-c973-4202-a55f-12d8001ea014"/>
    <xsd:import namespace="e25f48ca-0323-4f04-8017-0e8f59a74e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27f4-c973-4202-a55f-12d8001ea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f48ca-0323-4f04-8017-0e8f59a74e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FAA99-AA28-43B3-B981-4145F93A1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27f4-c973-4202-a55f-12d8001ea014"/>
    <ds:schemaRef ds:uri="e25f48ca-0323-4f04-8017-0e8f59a7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72743-C7C0-467E-BBC9-B8F04B31719D}">
  <ds:schemaRefs>
    <ds:schemaRef ds:uri="http://schemas.microsoft.com/sharepoint/v3/contenttype/forms"/>
  </ds:schemaRefs>
</ds:datastoreItem>
</file>

<file path=customXml/itemProps3.xml><?xml version="1.0" encoding="utf-8"?>
<ds:datastoreItem xmlns:ds="http://schemas.openxmlformats.org/officeDocument/2006/customXml" ds:itemID="{F4BFB836-1D71-4917-B31A-580A6848A779}">
  <ds:schemaRefs>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e25f48ca-0323-4f04-8017-0e8f59a74e5d"/>
    <ds:schemaRef ds:uri="8d6927f4-c973-4202-a55f-12d8001ea01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3394</Words>
  <Characters>19347</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Marie-Paule Ogereau</dc:creator>
  <cp:lastModifiedBy>Marie-Paule Ogereau</cp:lastModifiedBy>
  <cp:revision>2</cp:revision>
  <dcterms:created xsi:type="dcterms:W3CDTF">2019-01-23T08:17:00Z</dcterms:created>
  <dcterms:modified xsi:type="dcterms:W3CDTF">2019-01-23T08:17:00Z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0x010100F2FD555B204A9341A8D22D756BDB1A4D</vt:lpwstr>
  </property>
</Properties>
</file>