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BFE19B" w14:textId="77777777" w:rsidR="00595931" w:rsidRDefault="002B2995">
      <w:pPr>
        <w:spacing w:after="0"/>
        <w:jc w:val="both"/>
        <w:rPr>
          <w:b/>
          <w:i/>
          <w:sz w:val="28"/>
          <w:szCs w:val="28"/>
        </w:rPr>
      </w:pPr>
      <w:bookmarkStart w:id="0" w:name="_GoBack"/>
      <w:bookmarkEnd w:id="0"/>
      <w:r>
        <w:rPr>
          <w:b/>
          <w:i/>
          <w:sz w:val="28"/>
          <w:szCs w:val="28"/>
        </w:rPr>
        <w:t>Activistas disfrazados de lobos invaden Davos en protesta contra los “tribunales corporativos’’ del ISDS.</w:t>
      </w:r>
    </w:p>
    <w:p w14:paraId="2D3EAFF5" w14:textId="77777777" w:rsidR="00595931" w:rsidRDefault="002B2995">
      <w:pPr>
        <w:spacing w:after="0"/>
        <w:jc w:val="both"/>
        <w:rPr>
          <w:b/>
        </w:rPr>
      </w:pPr>
      <w:r>
        <w:rPr>
          <w:b/>
        </w:rPr>
        <w:t>Davos, Suiza | Embargado hasta el 23.01.2019 | Detener la Coalición ISDS</w:t>
      </w:r>
    </w:p>
    <w:p w14:paraId="58F109C4" w14:textId="77777777" w:rsidR="00595931" w:rsidRDefault="00595931">
      <w:pPr>
        <w:spacing w:after="0"/>
        <w:jc w:val="both"/>
        <w:rPr>
          <w:b/>
        </w:rPr>
      </w:pPr>
    </w:p>
    <w:p w14:paraId="32109426" w14:textId="77777777" w:rsidR="00595931" w:rsidRDefault="002B2995">
      <w:pPr>
        <w:spacing w:after="0"/>
        <w:jc w:val="both"/>
      </w:pPr>
      <w:r>
        <w:t>Los/las activistas disfrazados de lobos invadirán las calles de Davos, al margen del Foro Económico Mundial (FEM), para protestar contra el derecho de las empresas a demandar a los gobiernos en el contexto de las controvertidas disposiciones del “mecanismo</w:t>
      </w:r>
      <w:r>
        <w:t xml:space="preserve"> de resolución de litigios entre Inversores y Estados’’ (ISDS, por sus siglas en inglés). La acción tendrá lugar el 23 de enero a las 13h (lugar para confirmar con el Contacto de prensa).</w:t>
      </w:r>
    </w:p>
    <w:p w14:paraId="41103784" w14:textId="77777777" w:rsidR="00595931" w:rsidRDefault="002B2995">
      <w:pPr>
        <w:spacing w:after="0"/>
        <w:jc w:val="both"/>
      </w:pPr>
      <w:r>
        <w:t xml:space="preserve"> </w:t>
      </w:r>
    </w:p>
    <w:p w14:paraId="262EA842" w14:textId="77777777" w:rsidR="00595931" w:rsidRDefault="002B2995">
      <w:pPr>
        <w:spacing w:after="0"/>
        <w:jc w:val="both"/>
      </w:pPr>
      <w:r>
        <w:t>Las cláusulas del ISDS, que se encuentran dentro de una serie de a</w:t>
      </w:r>
      <w:r>
        <w:t xml:space="preserve">cuerdos comerciales y de inversión, especialmente en el Acuerdo de Asociación Trans-Pacífico (TPP) y el Acuerdo Económico y Comercial Global (CETA), permiten a las empresas multinacionales recurrir a tribunales internacionales secretos para demandar a los </w:t>
      </w:r>
      <w:r>
        <w:t>Estados si los gobiernos adoptan medidas que ellas consideran como injustamente obstaculizando sus beneficios.</w:t>
      </w:r>
    </w:p>
    <w:p w14:paraId="66F9B5A1" w14:textId="77777777" w:rsidR="00595931" w:rsidRDefault="002B2995">
      <w:pPr>
        <w:spacing w:after="0"/>
        <w:jc w:val="both"/>
      </w:pPr>
      <w:r>
        <w:t xml:space="preserve"> </w:t>
      </w:r>
    </w:p>
    <w:p w14:paraId="14B9D089" w14:textId="77777777" w:rsidR="00595931" w:rsidRDefault="002B2995">
      <w:pPr>
        <w:spacing w:after="0"/>
        <w:jc w:val="both"/>
      </w:pPr>
      <w:r>
        <w:t>La coalición</w:t>
      </w:r>
      <w:hyperlink r:id="rId8">
        <w:r>
          <w:t xml:space="preserve"> </w:t>
        </w:r>
      </w:hyperlink>
      <w:hyperlink r:id="rId9">
        <w:r>
          <w:rPr>
            <w:color w:val="1155CC"/>
            <w:u w:val="single"/>
          </w:rPr>
          <w:t>"Stop ISDS"</w:t>
        </w:r>
      </w:hyperlink>
      <w:r>
        <w:t>, una alianza de más de cien ONG, entre las que se encuentran Greenpeace, Action Aid y la Internacional de Servicios Públicos, organizó la acción como lanzam</w:t>
      </w:r>
      <w:r>
        <w:t>iento de una petición a la Unión Europea para poner fin a la promoción del ISDS.</w:t>
      </w:r>
    </w:p>
    <w:p w14:paraId="3781D297" w14:textId="77777777" w:rsidR="00595931" w:rsidRDefault="002B2995">
      <w:pPr>
        <w:spacing w:after="0"/>
        <w:jc w:val="both"/>
      </w:pPr>
      <w:r>
        <w:t xml:space="preserve"> </w:t>
      </w:r>
    </w:p>
    <w:p w14:paraId="0A78B4E3" w14:textId="77777777" w:rsidR="00595931" w:rsidRDefault="002B2995">
      <w:pPr>
        <w:spacing w:after="0"/>
        <w:jc w:val="both"/>
      </w:pPr>
      <w:r>
        <w:rPr>
          <w:b/>
        </w:rPr>
        <w:t xml:space="preserve">Más de cuarenta de las corporaciones que figuran en la lista de "socios industriales" del FEM (Foro Económico Mundial) </w:t>
      </w:r>
      <w:r>
        <w:t>han estado involucradas en casos de ISDS (véase el ane</w:t>
      </w:r>
      <w:r>
        <w:t>xo), a menudo con la intención de socavar o desalentar las políticas progresistas, incluidas las políticas relativas al medio ambiente, los aumentos del salario mínimo y las medidas de salud pública.</w:t>
      </w:r>
    </w:p>
    <w:p w14:paraId="53C02D9F" w14:textId="77777777" w:rsidR="00595931" w:rsidRDefault="002B2995">
      <w:pPr>
        <w:spacing w:after="0"/>
        <w:jc w:val="both"/>
      </w:pPr>
      <w:r>
        <w:t xml:space="preserve"> </w:t>
      </w:r>
    </w:p>
    <w:p w14:paraId="0EA31FB4" w14:textId="77777777" w:rsidR="00595931" w:rsidRDefault="002B2995">
      <w:pPr>
        <w:spacing w:after="0"/>
        <w:jc w:val="both"/>
      </w:pPr>
      <w:r>
        <w:t>Algunos ejemplos incluyen:</w:t>
      </w:r>
    </w:p>
    <w:p w14:paraId="2304084C" w14:textId="77777777" w:rsidR="00595931" w:rsidRDefault="002B2995">
      <w:pPr>
        <w:spacing w:after="0"/>
        <w:jc w:val="both"/>
      </w:pPr>
      <w:r>
        <w:t xml:space="preserve"> En 2005, Cargill</w:t>
      </w:r>
      <w:hyperlink r:id="rId10">
        <w:r>
          <w:t xml:space="preserve"> </w:t>
        </w:r>
      </w:hyperlink>
      <w:hyperlink r:id="rId11">
        <w:r>
          <w:rPr>
            <w:color w:val="1155CC"/>
            <w:u w:val="single"/>
          </w:rPr>
          <w:t>demandó</w:t>
        </w:r>
      </w:hyperlink>
      <w:r>
        <w:rPr>
          <w:color w:val="4472C4"/>
          <w:u w:val="single"/>
        </w:rPr>
        <w:t xml:space="preserve"> </w:t>
      </w:r>
      <w:r>
        <w:t xml:space="preserve">a México después de que el gobierno implementara un impuesto sobre el jarabe de maíz con alto contenido de fructosa para hacer frente a la crisis de obesidad del país. Cargill usó las cláusulas del ISDS presentes en el TLCAN (NAFTA) </w:t>
      </w:r>
      <w:r>
        <w:t>para extraer más de $70 millones en daños y perjuicios del presupuesto público de México. Cargill utilizó el FEM en 2018 para</w:t>
      </w:r>
      <w:hyperlink r:id="rId12">
        <w:r>
          <w:t xml:space="preserve"> </w:t>
        </w:r>
      </w:hyperlink>
      <w:hyperlink r:id="rId13">
        <w:r>
          <w:rPr>
            <w:color w:val="1155CC"/>
            <w:u w:val="single"/>
          </w:rPr>
          <w:t>lanz</w:t>
        </w:r>
        <w:r>
          <w:rPr>
            <w:color w:val="1155CC"/>
            <w:u w:val="single"/>
          </w:rPr>
          <w:t>ar</w:t>
        </w:r>
      </w:hyperlink>
      <w:r>
        <w:rPr>
          <w:color w:val="4472C4"/>
          <w:u w:val="single"/>
        </w:rPr>
        <w:t xml:space="preserve"> </w:t>
      </w:r>
      <w:r>
        <w:t>un proyecto de Responsabilidad Social Corporativa, pretendiendo "abordar los problemas sociales utilizando el poder de los alimentos".</w:t>
      </w:r>
    </w:p>
    <w:p w14:paraId="6CBEFF28" w14:textId="77777777" w:rsidR="00595931" w:rsidRDefault="002B2995">
      <w:pPr>
        <w:spacing w:after="0"/>
        <w:jc w:val="both"/>
      </w:pPr>
      <w:r>
        <w:t xml:space="preserve"> </w:t>
      </w:r>
    </w:p>
    <w:p w14:paraId="764FA088" w14:textId="77777777" w:rsidR="00595931" w:rsidRDefault="002B2995">
      <w:pPr>
        <w:spacing w:after="0"/>
        <w:jc w:val="both"/>
      </w:pPr>
      <w:r>
        <w:t>En 2015, Novartis</w:t>
      </w:r>
      <w:hyperlink r:id="rId14">
        <w:r>
          <w:rPr>
            <w:color w:val="1155CC"/>
            <w:u w:val="single"/>
          </w:rPr>
          <w:t xml:space="preserve"> amenazó </w:t>
        </w:r>
      </w:hyperlink>
      <w:r>
        <w:t>con utilizar el ISDS para disuadir con éxito al gobierno colombiano de hacer más accesible un medicamento contra la leucemia que salvaría vidas a través de licencias obligatoria</w:t>
      </w:r>
      <w:r>
        <w:t>s. El medicamento, que ha generado más de 40.000 millones de euros en ingresos para Novartis, se vendió por más de 15.000 dólares por paciente al año, el doble de los ingresos medios de una persona.</w:t>
      </w:r>
    </w:p>
    <w:p w14:paraId="67CE7D1C" w14:textId="77777777" w:rsidR="00595931" w:rsidRDefault="002B2995">
      <w:pPr>
        <w:spacing w:after="0"/>
        <w:jc w:val="both"/>
      </w:pPr>
      <w:r>
        <w:t xml:space="preserve"> </w:t>
      </w:r>
    </w:p>
    <w:p w14:paraId="77A2972D" w14:textId="77777777" w:rsidR="00595931" w:rsidRDefault="002B2995">
      <w:pPr>
        <w:spacing w:after="0"/>
        <w:jc w:val="both"/>
      </w:pPr>
      <w:r>
        <w:t>En 2008, Dow Chemical demandó a Canadá después de que Q</w:t>
      </w:r>
      <w:r>
        <w:t>uebec prohibiera la fabricación y venta de pesticidas dañinos. Dow Agrosciences declaró el acuerdo subsiguiente una victoria, y los</w:t>
      </w:r>
      <w:hyperlink r:id="rId15">
        <w:r>
          <w:t xml:space="preserve"> </w:t>
        </w:r>
      </w:hyperlink>
      <w:hyperlink r:id="rId16">
        <w:r>
          <w:rPr>
            <w:color w:val="1155CC"/>
            <w:u w:val="single"/>
          </w:rPr>
          <w:t>comentaristas señalaron</w:t>
        </w:r>
      </w:hyperlink>
      <w:r>
        <w:rPr>
          <w:color w:val="4472C4"/>
        </w:rPr>
        <w:t xml:space="preserve"> </w:t>
      </w:r>
      <w:r>
        <w:t>que el caso podría desalentar a otros gobiernos a seguir adelante con sus propias prohibiciones de plaguicidas.</w:t>
      </w:r>
    </w:p>
    <w:p w14:paraId="338E8ACA" w14:textId="77777777" w:rsidR="00595931" w:rsidRDefault="002B2995">
      <w:pPr>
        <w:spacing w:after="0"/>
        <w:jc w:val="both"/>
      </w:pPr>
      <w:r>
        <w:t xml:space="preserve"> </w:t>
      </w:r>
    </w:p>
    <w:p w14:paraId="7E6F4185" w14:textId="77777777" w:rsidR="00595931" w:rsidRDefault="002B2995">
      <w:pPr>
        <w:spacing w:after="0"/>
        <w:jc w:val="both"/>
        <w:rPr>
          <w:b/>
        </w:rPr>
      </w:pPr>
      <w:r>
        <w:t xml:space="preserve"> </w:t>
      </w:r>
      <w:r>
        <w:rPr>
          <w:b/>
        </w:rPr>
        <w:t xml:space="preserve">El portavoz de la coalición, Alex Scrivener, dijo: </w:t>
      </w:r>
    </w:p>
    <w:p w14:paraId="0D3178DD" w14:textId="77777777" w:rsidR="00595931" w:rsidRDefault="002B2995">
      <w:pPr>
        <w:spacing w:after="0"/>
        <w:jc w:val="both"/>
      </w:pPr>
      <w:r>
        <w:t>"Mientras que los CEOs aquí en Davos tratan de presentarse como una fuerza para el bien frente a los políticos, muchos de ellos están demandando a los gobiernos para socavar las políticas progresistas que necesitamos.  Esto es nada menos que pura hipocresí</w:t>
      </w:r>
      <w:r>
        <w:t>a. El ISDS es una gran amenaza para la democracia, los derechos humanos y el medio ambiente. Necesitamos que los líderes de la UE utilicen Davos para comprometerse a poner fin al arbitraje entre inversores y Estados y concentrarse, en cambio, en garantizar</w:t>
      </w:r>
      <w:r>
        <w:t xml:space="preserve"> el recurso para los millones de personas de todo el mundo que son víctimas de violaciones de los derechos humanos de las empresas ".</w:t>
      </w:r>
    </w:p>
    <w:p w14:paraId="3DF67F57" w14:textId="77777777" w:rsidR="00595931" w:rsidRDefault="002B2995">
      <w:pPr>
        <w:spacing w:after="0"/>
        <w:jc w:val="both"/>
      </w:pPr>
      <w:r>
        <w:t xml:space="preserve"> </w:t>
      </w:r>
    </w:p>
    <w:p w14:paraId="34800A44" w14:textId="77777777" w:rsidR="00595931" w:rsidRDefault="002B2995">
      <w:pPr>
        <w:spacing w:after="0"/>
        <w:jc w:val="both"/>
        <w:rPr>
          <w:b/>
        </w:rPr>
      </w:pPr>
      <w:r>
        <w:rPr>
          <w:b/>
        </w:rPr>
        <w:t>Rosa Pavanelli, Secretaria General de la Internacional de Servicios Públicos (miembro de la Coalición) dijo:</w:t>
      </w:r>
    </w:p>
    <w:p w14:paraId="2F16AE7E" w14:textId="77777777" w:rsidR="00595931" w:rsidRDefault="002B2995">
      <w:pPr>
        <w:spacing w:after="0"/>
        <w:jc w:val="both"/>
      </w:pPr>
      <w:r>
        <w:t>"En un mund</w:t>
      </w:r>
      <w:r>
        <w:t>o que se enfrenta a desafíos críticos como el cambio climático y el aumento de la desigualdad, las empresas multinacionales no deberían poder triunfar sobre la soberanía nacional. Nadie debería tener derecho a demandar a los gobiernos por beneficios futuro</w:t>
      </w:r>
      <w:r>
        <w:t xml:space="preserve">s. Debemos acabar con el ISDS y dar a la gente la capacidad de hacer </w:t>
      </w:r>
      <w:r>
        <w:lastRenderedPageBreak/>
        <w:t>que las empresas rindan cuentas a través de un</w:t>
      </w:r>
      <w:hyperlink r:id="rId17">
        <w:r>
          <w:t xml:space="preserve"> </w:t>
        </w:r>
      </w:hyperlink>
      <w:hyperlink r:id="rId18">
        <w:r>
          <w:rPr>
            <w:color w:val="1155CC"/>
            <w:u w:val="single"/>
          </w:rPr>
          <w:t>tratado vinculante de las Naciones Unidas</w:t>
        </w:r>
      </w:hyperlink>
      <w:r>
        <w:rPr>
          <w:color w:val="4472C4"/>
        </w:rPr>
        <w:t xml:space="preserve"> </w:t>
      </w:r>
      <w:r>
        <w:t>sobre las Empresas Transnacionales y los Derechos Humanos".</w:t>
      </w:r>
    </w:p>
    <w:p w14:paraId="1430DECF" w14:textId="77777777" w:rsidR="00595931" w:rsidRDefault="00595931">
      <w:pPr>
        <w:spacing w:after="0"/>
        <w:jc w:val="both"/>
        <w:rPr>
          <w:b/>
          <w:sz w:val="26"/>
          <w:szCs w:val="26"/>
        </w:rPr>
      </w:pPr>
    </w:p>
    <w:p w14:paraId="31E0662B" w14:textId="77777777" w:rsidR="00595931" w:rsidRDefault="002B2995">
      <w:pPr>
        <w:spacing w:after="0"/>
        <w:rPr>
          <w:b/>
        </w:rPr>
      </w:pPr>
      <w:bookmarkStart w:id="1" w:name="30j0zll" w:colFirst="0" w:colLast="0"/>
      <w:bookmarkEnd w:id="1"/>
      <w:r>
        <w:rPr>
          <w:b/>
        </w:rPr>
        <w:t xml:space="preserve">Contacto de prensa </w:t>
      </w:r>
    </w:p>
    <w:p w14:paraId="08BC5797" w14:textId="77777777" w:rsidR="00595931" w:rsidRDefault="002B2995">
      <w:pPr>
        <w:spacing w:after="0"/>
      </w:pPr>
      <w:r>
        <w:t>In Davos: Nelly Grotefendt - Stop ISDS Coalition| +49 1</w:t>
      </w:r>
      <w:r>
        <w:t xml:space="preserve">76 800 35462 </w:t>
      </w:r>
      <w:hyperlink r:id="rId19">
        <w:r>
          <w:t>Grotefendt@forumue.d</w:t>
        </w:r>
      </w:hyperlink>
      <w:r>
        <w:t xml:space="preserve">e </w:t>
      </w:r>
    </w:p>
    <w:p w14:paraId="3C78F8C6" w14:textId="77777777" w:rsidR="00595931" w:rsidRDefault="002B2995">
      <w:pPr>
        <w:spacing w:after="0"/>
      </w:pPr>
      <w:r>
        <w:t xml:space="preserve">Alex Scrivener - Stop ISDS Coalition Spokesperson | +31 6 25 58 29 03 |  </w:t>
      </w:r>
      <w:hyperlink r:id="rId20">
        <w:r>
          <w:rPr>
            <w:color w:val="1155CC"/>
            <w:u w:val="single"/>
          </w:rPr>
          <w:t>alex@S2Bnetwork.org</w:t>
        </w:r>
      </w:hyperlink>
    </w:p>
    <w:p w14:paraId="07EC9142" w14:textId="77777777" w:rsidR="00595931" w:rsidRDefault="002B2995">
      <w:pPr>
        <w:spacing w:after="0"/>
      </w:pPr>
      <w:r>
        <w:t>Leo Hyde - Public Services Intern</w:t>
      </w:r>
      <w:r>
        <w:t xml:space="preserve">ational | +33770059557 | </w:t>
      </w:r>
      <w:r>
        <w:rPr>
          <w:color w:val="1155CC"/>
        </w:rPr>
        <w:t>leo.hyde@world-psi.org</w:t>
      </w:r>
    </w:p>
    <w:p w14:paraId="198D55D7" w14:textId="77777777" w:rsidR="00595931" w:rsidRDefault="002B2995">
      <w:r>
        <w:t>______________________________________________________________________________________________</w:t>
      </w:r>
    </w:p>
    <w:p w14:paraId="5E22C9CF" w14:textId="77777777" w:rsidR="00595931" w:rsidRDefault="002B2995">
      <w:pPr>
        <w:rPr>
          <w:b/>
        </w:rPr>
      </w:pPr>
      <w:r>
        <w:rPr>
          <w:b/>
        </w:rPr>
        <w:t>Antecedentes de la campaña contra ISDS y por Responsabilidad Corporativa</w:t>
      </w:r>
    </w:p>
    <w:p w14:paraId="77A4E695" w14:textId="77777777" w:rsidR="00595931" w:rsidRDefault="002B2995">
      <w:pPr>
        <w:jc w:val="both"/>
      </w:pPr>
      <w:r>
        <w:t>Somos una alianza de más de 100 organizaciones, sindicatos y movimientos sociales, que hacemos campaña a favor de las normas de responsabilidad corporativa para las empresas y en contra de la solución de controversias entre inversores y Estados, un sistema</w:t>
      </w:r>
      <w:r>
        <w:t xml:space="preserve"> de justicia paralelo, unilateral e injusto de las empresas.</w:t>
      </w:r>
    </w:p>
    <w:p w14:paraId="0C2EE0E9" w14:textId="77777777" w:rsidR="00595931" w:rsidRDefault="002B2995">
      <w:pPr>
        <w:jc w:val="both"/>
      </w:pPr>
      <w:r>
        <w:t>El 22 de enero de 2018, la coalición lanza una petición europea a través de 16 estados miembros de la UE, pidiendo a la UE y a los gobiernos europeos que pongan fin a los privilegios de las empre</w:t>
      </w:r>
      <w:r>
        <w:t>sas retirándose de los acuerdos comerciales y de inversión existentes que contengan cláusulas ISDS, y que los excluyan de los acuerdos en el futuro.</w:t>
      </w:r>
    </w:p>
    <w:p w14:paraId="7D770B01" w14:textId="77777777" w:rsidR="00595931" w:rsidRDefault="002B2995">
      <w:pPr>
        <w:jc w:val="both"/>
      </w:pPr>
      <w:r>
        <w:t>La campaña también hace un llamamiento a la UE y a los Estados miembros para que apoyen el logro de un Trat</w:t>
      </w:r>
      <w:r>
        <w:t>ado vinculante de las Naciones Unidas sobre las multinacionales y para que la legislación nacional exija a las empresas transnacionales que rindan cuentas por las violaciones de los derechos humanos.</w:t>
      </w:r>
    </w:p>
    <w:p w14:paraId="5AEE26B0" w14:textId="77777777" w:rsidR="00595931" w:rsidRDefault="002B2995">
      <w:r>
        <w:t xml:space="preserve"> _______________________________________________________</w:t>
      </w:r>
      <w:r>
        <w:t>_______________________________________</w:t>
      </w:r>
    </w:p>
    <w:p w14:paraId="7D4F1B8E" w14:textId="77777777" w:rsidR="00595931" w:rsidRDefault="002B2995">
      <w:pPr>
        <w:rPr>
          <w:b/>
        </w:rPr>
      </w:pPr>
      <w:r>
        <w:rPr>
          <w:b/>
        </w:rPr>
        <w:t>ISDS - DATOS CLAVE</w:t>
      </w:r>
    </w:p>
    <w:p w14:paraId="5EE10CD2" w14:textId="77777777" w:rsidR="00595931" w:rsidRDefault="002B2995">
      <w:pPr>
        <w:numPr>
          <w:ilvl w:val="0"/>
          <w:numId w:val="1"/>
        </w:numPr>
        <w:pBdr>
          <w:top w:val="nil"/>
          <w:left w:val="nil"/>
          <w:bottom w:val="nil"/>
          <w:right w:val="nil"/>
          <w:between w:val="nil"/>
        </w:pBdr>
        <w:tabs>
          <w:tab w:val="left" w:pos="426"/>
        </w:tabs>
        <w:spacing w:after="0"/>
        <w:ind w:left="426"/>
        <w:jc w:val="both"/>
        <w:rPr>
          <w:color w:val="000000"/>
        </w:rPr>
      </w:pPr>
      <w:r>
        <w:rPr>
          <w:color w:val="000000"/>
        </w:rPr>
        <w:t>Los casos de ISDS han dado lugar a la concesión de más de 50.000 millones de dólares de los EE. UU. De la cartera pública a los inversores privados, más que el PIB de la mayoría de las naciones.</w:t>
      </w:r>
    </w:p>
    <w:p w14:paraId="7AB5C667" w14:textId="77777777" w:rsidR="00595931" w:rsidRDefault="002B2995">
      <w:pPr>
        <w:numPr>
          <w:ilvl w:val="0"/>
          <w:numId w:val="1"/>
        </w:numPr>
        <w:pBdr>
          <w:top w:val="nil"/>
          <w:left w:val="nil"/>
          <w:bottom w:val="nil"/>
          <w:right w:val="nil"/>
          <w:between w:val="nil"/>
        </w:pBdr>
        <w:tabs>
          <w:tab w:val="left" w:pos="426"/>
        </w:tabs>
        <w:spacing w:after="0"/>
        <w:ind w:left="426"/>
        <w:jc w:val="both"/>
        <w:rPr>
          <w:color w:val="000000"/>
        </w:rPr>
      </w:pPr>
      <w:r>
        <w:rPr>
          <w:color w:val="000000"/>
        </w:rPr>
        <w:t>Ha</w:t>
      </w:r>
      <w:r>
        <w:rPr>
          <w:color w:val="000000"/>
        </w:rPr>
        <w:t xml:space="preserve"> habido </w:t>
      </w:r>
      <w:r>
        <w:rPr>
          <w:color w:val="4472C4"/>
          <w:u w:val="single"/>
        </w:rPr>
        <w:t>una explosión</w:t>
      </w:r>
      <w:r>
        <w:rPr>
          <w:color w:val="4472C4"/>
        </w:rPr>
        <w:t xml:space="preserve"> </w:t>
      </w:r>
      <w:r>
        <w:rPr>
          <w:color w:val="000000"/>
        </w:rPr>
        <w:t>de casos conocidos en los últimos 20 años, de menos de 10 en 1994 a 608 en 2014, de los cuales el 80% provienen de corporaciones globales con sede en los Estados Unidos y Europa.</w:t>
      </w:r>
    </w:p>
    <w:p w14:paraId="2A894FC3" w14:textId="77777777" w:rsidR="00595931" w:rsidRDefault="002B2995">
      <w:pPr>
        <w:numPr>
          <w:ilvl w:val="0"/>
          <w:numId w:val="1"/>
        </w:numPr>
        <w:pBdr>
          <w:top w:val="nil"/>
          <w:left w:val="nil"/>
          <w:bottom w:val="nil"/>
          <w:right w:val="nil"/>
          <w:between w:val="nil"/>
        </w:pBdr>
        <w:tabs>
          <w:tab w:val="left" w:pos="426"/>
        </w:tabs>
        <w:spacing w:after="0"/>
        <w:ind w:left="426"/>
        <w:jc w:val="both"/>
        <w:rPr>
          <w:color w:val="4472C4"/>
          <w:u w:val="single"/>
        </w:rPr>
      </w:pPr>
      <w:r>
        <w:rPr>
          <w:color w:val="000000"/>
        </w:rPr>
        <w:t>Las empresas con sede en los EE.UU. son, con mucho, los usuarios más frecuentes, con el doble de casos que el país del siguiente mayor número de usuarios</w:t>
      </w:r>
      <w:r>
        <w:rPr>
          <w:color w:val="4472C4"/>
          <w:u w:val="single"/>
        </w:rPr>
        <w:t>. La mayoría de los casos son ganados por los inversores.</w:t>
      </w:r>
    </w:p>
    <w:p w14:paraId="70C5A682" w14:textId="77777777" w:rsidR="00595931" w:rsidRDefault="002B2995">
      <w:pPr>
        <w:numPr>
          <w:ilvl w:val="0"/>
          <w:numId w:val="1"/>
        </w:numPr>
        <w:pBdr>
          <w:top w:val="nil"/>
          <w:left w:val="nil"/>
          <w:bottom w:val="nil"/>
          <w:right w:val="nil"/>
          <w:between w:val="nil"/>
        </w:pBdr>
        <w:tabs>
          <w:tab w:val="left" w:pos="426"/>
        </w:tabs>
        <w:spacing w:after="0"/>
        <w:ind w:left="426"/>
        <w:jc w:val="both"/>
        <w:rPr>
          <w:color w:val="000000"/>
        </w:rPr>
      </w:pPr>
      <w:r>
        <w:rPr>
          <w:color w:val="000000"/>
        </w:rPr>
        <w:t>Expertos, entre ellos el presidente del Tribu</w:t>
      </w:r>
      <w:r>
        <w:rPr>
          <w:color w:val="000000"/>
        </w:rPr>
        <w:t xml:space="preserve">nal Supremo de Australia, han expresado su profunda preocupación por el hecho de que el ISDS no sea independiente ni imparcial. </w:t>
      </w:r>
    </w:p>
    <w:p w14:paraId="6991ABAE" w14:textId="77777777" w:rsidR="00595931" w:rsidRDefault="002B2995">
      <w:pPr>
        <w:numPr>
          <w:ilvl w:val="0"/>
          <w:numId w:val="1"/>
        </w:numPr>
        <w:pBdr>
          <w:top w:val="nil"/>
          <w:left w:val="nil"/>
          <w:bottom w:val="nil"/>
          <w:right w:val="nil"/>
          <w:between w:val="nil"/>
        </w:pBdr>
        <w:tabs>
          <w:tab w:val="left" w:pos="426"/>
        </w:tabs>
        <w:spacing w:after="0"/>
        <w:ind w:left="426"/>
        <w:jc w:val="both"/>
        <w:rPr>
          <w:color w:val="000000"/>
        </w:rPr>
      </w:pPr>
      <w:r>
        <w:rPr>
          <w:color w:val="000000"/>
        </w:rPr>
        <w:t xml:space="preserve">El TJCE (Tribunal de Justicia de las Comunidades Europeas) </w:t>
      </w:r>
      <w:r>
        <w:rPr>
          <w:color w:val="4472C4"/>
          <w:u w:val="single"/>
        </w:rPr>
        <w:t>ha dictaminado</w:t>
      </w:r>
      <w:r>
        <w:rPr>
          <w:color w:val="4472C4"/>
        </w:rPr>
        <w:t xml:space="preserve"> </w:t>
      </w:r>
      <w:r>
        <w:rPr>
          <w:color w:val="000000"/>
        </w:rPr>
        <w:t>recientemente que los casos ISDS intracomunitarios so</w:t>
      </w:r>
      <w:r>
        <w:rPr>
          <w:color w:val="000000"/>
        </w:rPr>
        <w:t>n "incompatibles con la legislación de la UE".</w:t>
      </w:r>
    </w:p>
    <w:p w14:paraId="14742621" w14:textId="77777777" w:rsidR="00595931" w:rsidRDefault="002B2995">
      <w:pPr>
        <w:numPr>
          <w:ilvl w:val="0"/>
          <w:numId w:val="1"/>
        </w:numPr>
        <w:pBdr>
          <w:top w:val="nil"/>
          <w:left w:val="nil"/>
          <w:bottom w:val="nil"/>
          <w:right w:val="nil"/>
          <w:between w:val="nil"/>
        </w:pBdr>
        <w:tabs>
          <w:tab w:val="left" w:pos="426"/>
        </w:tabs>
        <w:spacing w:after="0"/>
        <w:ind w:left="426"/>
        <w:jc w:val="both"/>
        <w:rPr>
          <w:color w:val="000000"/>
        </w:rPr>
      </w:pPr>
      <w:r>
        <w:rPr>
          <w:color w:val="000000"/>
        </w:rPr>
        <w:t xml:space="preserve">La consulta pública de la Comisión Europea sobre ISDS </w:t>
      </w:r>
      <w:r>
        <w:rPr>
          <w:color w:val="4472C4"/>
          <w:u w:val="single"/>
        </w:rPr>
        <w:t>llevó a que más del 97%</w:t>
      </w:r>
      <w:r>
        <w:rPr>
          <w:color w:val="4472C4"/>
        </w:rPr>
        <w:t xml:space="preserve"> </w:t>
      </w:r>
      <w:r>
        <w:rPr>
          <w:color w:val="000000"/>
        </w:rPr>
        <w:t>de los encuestados rechazaran estos privilegios empresariales.</w:t>
      </w:r>
    </w:p>
    <w:p w14:paraId="46E77364" w14:textId="77777777" w:rsidR="00595931" w:rsidRDefault="002B2995">
      <w:pPr>
        <w:numPr>
          <w:ilvl w:val="0"/>
          <w:numId w:val="1"/>
        </w:numPr>
        <w:pBdr>
          <w:top w:val="nil"/>
          <w:left w:val="nil"/>
          <w:bottom w:val="nil"/>
          <w:right w:val="nil"/>
          <w:between w:val="nil"/>
        </w:pBdr>
        <w:tabs>
          <w:tab w:val="left" w:pos="426"/>
        </w:tabs>
        <w:spacing w:after="0"/>
        <w:ind w:left="426"/>
        <w:jc w:val="both"/>
        <w:rPr>
          <w:color w:val="000000"/>
        </w:rPr>
      </w:pPr>
      <w:r>
        <w:rPr>
          <w:color w:val="000000"/>
        </w:rPr>
        <w:t xml:space="preserve">La Comisaria de Comercio de la UE, Cecilia Malmstrom, </w:t>
      </w:r>
      <w:r>
        <w:rPr>
          <w:color w:val="4472C4"/>
          <w:u w:val="single"/>
        </w:rPr>
        <w:t>describió</w:t>
      </w:r>
      <w:r>
        <w:rPr>
          <w:color w:val="000000"/>
        </w:rPr>
        <w:t xml:space="preserve"> reci</w:t>
      </w:r>
      <w:r>
        <w:rPr>
          <w:color w:val="000000"/>
        </w:rPr>
        <w:t xml:space="preserve">entemente a ISDS como "el acrónimo más tóxico de Europa". Esta es una de las razones por las que la UE está intentando crear nuevas siglas para ISDS: </w:t>
      </w:r>
      <w:r>
        <w:rPr>
          <w:color w:val="4472C4"/>
          <w:u w:val="single"/>
        </w:rPr>
        <w:t>ICS</w:t>
      </w:r>
      <w:r>
        <w:rPr>
          <w:color w:val="000000"/>
        </w:rPr>
        <w:t xml:space="preserve"> y </w:t>
      </w:r>
      <w:r>
        <w:rPr>
          <w:color w:val="4472C4"/>
          <w:u w:val="single"/>
        </w:rPr>
        <w:t>MIC.</w:t>
      </w:r>
    </w:p>
    <w:p w14:paraId="38428E08" w14:textId="77777777" w:rsidR="00595931" w:rsidRDefault="002B2995">
      <w:pPr>
        <w:numPr>
          <w:ilvl w:val="0"/>
          <w:numId w:val="1"/>
        </w:numPr>
        <w:pBdr>
          <w:top w:val="nil"/>
          <w:left w:val="nil"/>
          <w:bottom w:val="nil"/>
          <w:right w:val="nil"/>
          <w:between w:val="nil"/>
        </w:pBdr>
        <w:tabs>
          <w:tab w:val="left" w:pos="426"/>
        </w:tabs>
        <w:spacing w:after="0"/>
        <w:ind w:left="426"/>
        <w:jc w:val="both"/>
        <w:rPr>
          <w:color w:val="000000"/>
        </w:rPr>
      </w:pPr>
      <w:r>
        <w:rPr>
          <w:color w:val="000000"/>
        </w:rPr>
        <w:t>Bajo ISDS, los inversionistas extranjeros tienen más derechos que las empresas y los ciudadanos</w:t>
      </w:r>
      <w:r>
        <w:rPr>
          <w:color w:val="000000"/>
        </w:rPr>
        <w:t xml:space="preserve"> locales - pueden eludir los tribunales nacionales y demandar a los estados directamente a través de los tribunales internacionales. </w:t>
      </w:r>
    </w:p>
    <w:p w14:paraId="6C4FA66A" w14:textId="77777777" w:rsidR="00595931" w:rsidRDefault="002B2995">
      <w:pPr>
        <w:numPr>
          <w:ilvl w:val="0"/>
          <w:numId w:val="1"/>
        </w:numPr>
        <w:pBdr>
          <w:top w:val="nil"/>
          <w:left w:val="nil"/>
          <w:bottom w:val="nil"/>
          <w:right w:val="nil"/>
          <w:between w:val="nil"/>
        </w:pBdr>
        <w:tabs>
          <w:tab w:val="left" w:pos="426"/>
        </w:tabs>
        <w:spacing w:after="0"/>
        <w:ind w:left="426"/>
        <w:jc w:val="both"/>
        <w:rPr>
          <w:color w:val="000000"/>
        </w:rPr>
      </w:pPr>
      <w:r>
        <w:rPr>
          <w:color w:val="000000"/>
        </w:rPr>
        <w:t>Los casos ISDS suelen ser juzgados por tribunales secretos formados por sólo tres árbitros privados, nombrados como "juece</w:t>
      </w:r>
      <w:r>
        <w:rPr>
          <w:color w:val="000000"/>
        </w:rPr>
        <w:t xml:space="preserve">s", muchos de los cuales han trabajado anteriormente para las empresas que se encargan de los casos. </w:t>
      </w:r>
    </w:p>
    <w:p w14:paraId="46B024B9" w14:textId="77777777" w:rsidR="00595931" w:rsidRDefault="002B2995">
      <w:pPr>
        <w:numPr>
          <w:ilvl w:val="0"/>
          <w:numId w:val="1"/>
        </w:numPr>
        <w:pBdr>
          <w:top w:val="nil"/>
          <w:left w:val="nil"/>
          <w:bottom w:val="nil"/>
          <w:right w:val="nil"/>
          <w:between w:val="nil"/>
        </w:pBdr>
        <w:tabs>
          <w:tab w:val="left" w:pos="426"/>
        </w:tabs>
        <w:spacing w:after="0"/>
        <w:ind w:left="426"/>
        <w:jc w:val="both"/>
        <w:rPr>
          <w:color w:val="000000"/>
        </w:rPr>
      </w:pPr>
      <w:r>
        <w:rPr>
          <w:color w:val="000000"/>
        </w:rPr>
        <w:t xml:space="preserve">Incluso si un gobierno gana el caso, un estudio de </w:t>
      </w:r>
      <w:r>
        <w:rPr>
          <w:color w:val="4472C4"/>
          <w:u w:val="single"/>
        </w:rPr>
        <w:t>la OCDE de 2012</w:t>
      </w:r>
      <w:r>
        <w:rPr>
          <w:color w:val="4472C4"/>
        </w:rPr>
        <w:t xml:space="preserve"> </w:t>
      </w:r>
      <w:r>
        <w:rPr>
          <w:color w:val="000000"/>
        </w:rPr>
        <w:t>encontró que los casos de ISDS duran de 3 a 5 años y el costo promedio es de US$8 millo</w:t>
      </w:r>
      <w:r>
        <w:rPr>
          <w:color w:val="000000"/>
        </w:rPr>
        <w:t>nes por caso, con algunos casos que pueden llegar a costar hasta US$30 millones.</w:t>
      </w:r>
    </w:p>
    <w:p w14:paraId="6E7D9C8E" w14:textId="77777777" w:rsidR="00595931" w:rsidRDefault="002B2995">
      <w:pPr>
        <w:numPr>
          <w:ilvl w:val="0"/>
          <w:numId w:val="1"/>
        </w:numPr>
        <w:pBdr>
          <w:top w:val="nil"/>
          <w:left w:val="nil"/>
          <w:bottom w:val="nil"/>
          <w:right w:val="nil"/>
          <w:between w:val="nil"/>
        </w:pBdr>
        <w:tabs>
          <w:tab w:val="left" w:pos="426"/>
        </w:tabs>
        <w:spacing w:after="0"/>
        <w:ind w:left="426"/>
        <w:jc w:val="both"/>
        <w:rPr>
          <w:color w:val="000000"/>
        </w:rPr>
      </w:pPr>
      <w:r>
        <w:rPr>
          <w:color w:val="000000"/>
        </w:rPr>
        <w:t xml:space="preserve">El gobierno filipino </w:t>
      </w:r>
      <w:r>
        <w:rPr>
          <w:color w:val="4472C4"/>
          <w:u w:val="single"/>
        </w:rPr>
        <w:t>gastó 58 millones de dólares</w:t>
      </w:r>
      <w:r>
        <w:rPr>
          <w:color w:val="4472C4"/>
        </w:rPr>
        <w:t xml:space="preserve"> </w:t>
      </w:r>
      <w:r>
        <w:rPr>
          <w:color w:val="000000"/>
        </w:rPr>
        <w:t xml:space="preserve">defendiendo dos casos contra el operador aeroportuario alemán Fraport, dinero que podría haber pagado los salarios de 12.500 </w:t>
      </w:r>
      <w:r>
        <w:rPr>
          <w:color w:val="000000"/>
        </w:rPr>
        <w:t>maestros durante un año.</w:t>
      </w:r>
    </w:p>
    <w:p w14:paraId="63EBDB23" w14:textId="77777777" w:rsidR="00595931" w:rsidRDefault="002B2995">
      <w:pPr>
        <w:numPr>
          <w:ilvl w:val="0"/>
          <w:numId w:val="1"/>
        </w:numPr>
        <w:pBdr>
          <w:top w:val="nil"/>
          <w:left w:val="nil"/>
          <w:bottom w:val="nil"/>
          <w:right w:val="nil"/>
          <w:between w:val="nil"/>
        </w:pBdr>
        <w:tabs>
          <w:tab w:val="left" w:pos="426"/>
        </w:tabs>
        <w:spacing w:after="0"/>
        <w:ind w:left="426"/>
        <w:jc w:val="both"/>
        <w:rPr>
          <w:color w:val="000000"/>
        </w:rPr>
      </w:pPr>
      <w:r>
        <w:rPr>
          <w:color w:val="000000"/>
        </w:rPr>
        <w:t xml:space="preserve">En un reciente </w:t>
      </w:r>
      <w:r>
        <w:rPr>
          <w:color w:val="4472C4"/>
          <w:u w:val="single"/>
        </w:rPr>
        <w:t>documento de trabajo de la OMC</w:t>
      </w:r>
      <w:r>
        <w:rPr>
          <w:color w:val="4472C4"/>
        </w:rPr>
        <w:t xml:space="preserve"> </w:t>
      </w:r>
      <w:r>
        <w:rPr>
          <w:color w:val="000000"/>
        </w:rPr>
        <w:t>no se encontraron pruebas empíricas de que la EEDS aumente la inversión.</w:t>
      </w:r>
    </w:p>
    <w:p w14:paraId="6A42A8C0" w14:textId="77777777" w:rsidR="00595931" w:rsidRDefault="002B2995">
      <w:pPr>
        <w:numPr>
          <w:ilvl w:val="0"/>
          <w:numId w:val="1"/>
        </w:numPr>
        <w:pBdr>
          <w:top w:val="nil"/>
          <w:left w:val="nil"/>
          <w:bottom w:val="nil"/>
          <w:right w:val="nil"/>
          <w:between w:val="nil"/>
        </w:pBdr>
        <w:tabs>
          <w:tab w:val="left" w:pos="426"/>
        </w:tabs>
        <w:ind w:left="426"/>
        <w:rPr>
          <w:color w:val="000000"/>
        </w:rPr>
      </w:pPr>
      <w:r>
        <w:rPr>
          <w:color w:val="000000"/>
        </w:rPr>
        <w:lastRenderedPageBreak/>
        <w:t>ISDS no tiene un sistema de precedentes o apelaciones, por lo que las decisiones de los árbitros son definitivas y pueden ser inconsistentes.</w:t>
      </w:r>
    </w:p>
    <w:p w14:paraId="1A50C231" w14:textId="77777777" w:rsidR="00595931" w:rsidRDefault="00595931"/>
    <w:p w14:paraId="27368F9E" w14:textId="77777777" w:rsidR="00595931" w:rsidRDefault="002B2995">
      <w:pPr>
        <w:jc w:val="both"/>
        <w:rPr>
          <w:b/>
        </w:rPr>
      </w:pPr>
      <w:r>
        <w:rPr>
          <w:b/>
        </w:rPr>
        <w:t>En resumen, ISDS es un sistema enormemente costoso sin un poder judicial independiente, sin precedentes ni apelac</w:t>
      </w:r>
      <w:r>
        <w:rPr>
          <w:b/>
        </w:rPr>
        <w:t>iones, que otorga mayores derechos legales a las corporaciones globales que ya tienen un enorme poder de mercado, basado en conceptos legales no reconocidos en los sistemas nacionales y no disponibles para los inversores nacionales.</w:t>
      </w:r>
    </w:p>
    <w:p w14:paraId="7330749D" w14:textId="77777777" w:rsidR="00595931" w:rsidRDefault="002B2995">
      <w:pPr>
        <w:rPr>
          <w:b/>
        </w:rPr>
      </w:pPr>
      <w:bookmarkStart w:id="2" w:name="1fob9te" w:colFirst="0" w:colLast="0"/>
      <w:bookmarkEnd w:id="2"/>
      <w:r>
        <w:rPr>
          <w:b/>
          <w:sz w:val="24"/>
          <w:szCs w:val="24"/>
        </w:rPr>
        <w:t>Anexo:</w:t>
      </w:r>
      <w:r>
        <w:rPr>
          <w:b/>
        </w:rPr>
        <w:t xml:space="preserve"> Socios de la industria del FEM que utilizan las disposiciones de ISDS para demandar a los gobiernos</w:t>
      </w:r>
    </w:p>
    <w:p w14:paraId="24F6B189" w14:textId="77777777" w:rsidR="00595931" w:rsidRDefault="002B2995">
      <w:pPr>
        <w:spacing w:after="0"/>
        <w:rPr>
          <w:b/>
        </w:rPr>
      </w:pPr>
      <w:r>
        <w:rPr>
          <w:b/>
        </w:rPr>
        <w:t>Extractos de casos:</w:t>
      </w:r>
    </w:p>
    <w:p w14:paraId="27058A0C" w14:textId="77777777" w:rsidR="00595931" w:rsidRDefault="00595931">
      <w:pPr>
        <w:spacing w:after="0"/>
        <w:rPr>
          <w:b/>
        </w:rPr>
      </w:pPr>
    </w:p>
    <w:p w14:paraId="1A8DA775" w14:textId="77777777" w:rsidR="00595931" w:rsidRDefault="002B2995">
      <w:pPr>
        <w:spacing w:after="0"/>
        <w:jc w:val="both"/>
      </w:pPr>
      <w:r>
        <w:rPr>
          <w:b/>
        </w:rPr>
        <w:t>Vatenfall,</w:t>
      </w:r>
      <w:r>
        <w:t xml:space="preserve"> quien gerencia centrales eléctricas, ha </w:t>
      </w:r>
      <w:r>
        <w:rPr>
          <w:color w:val="4472C4"/>
          <w:u w:val="single"/>
        </w:rPr>
        <w:t xml:space="preserve">demandado </w:t>
      </w:r>
      <w:r>
        <w:t xml:space="preserve">a Alemania por más de 4.000 millones de euros después de que el Gobierno </w:t>
      </w:r>
      <w:r>
        <w:t xml:space="preserve">anunciara una transición hacia el abandono de la energía nuclear. Vatenfall también </w:t>
      </w:r>
      <w:r>
        <w:rPr>
          <w:color w:val="4472C4"/>
          <w:u w:val="single"/>
        </w:rPr>
        <w:t>demandó</w:t>
      </w:r>
      <w:r>
        <w:t xml:space="preserve"> a Alemania después de que la Autoridad Ambiental de Hamburgo impusiera controles de calidad para las aguas residuales vertidas al río desde una central eléctrica de</w:t>
      </w:r>
      <w:r>
        <w:t xml:space="preserve"> Vatenfall. Vattenfall alegó que esas normas hacían inviable el proyecto de inversión. Utilizando las disposiciones de ISDS, la empresa solicitó a Alemania una compensación por un total de 1.400 millones de euros. El caso fue finalmente resuelto cuando la </w:t>
      </w:r>
      <w:r>
        <w:t>ciudad de Hamburgo acordó reducir los requisitos ambientales previamente establecidos.</w:t>
      </w:r>
    </w:p>
    <w:p w14:paraId="475DF6B7" w14:textId="77777777" w:rsidR="00595931" w:rsidRDefault="00595931">
      <w:pPr>
        <w:spacing w:after="0"/>
        <w:jc w:val="both"/>
      </w:pPr>
    </w:p>
    <w:p w14:paraId="7ACEA1B2" w14:textId="77777777" w:rsidR="00595931" w:rsidRDefault="002B2995">
      <w:pPr>
        <w:spacing w:after="0"/>
        <w:jc w:val="both"/>
      </w:pPr>
      <w:r>
        <w:rPr>
          <w:b/>
        </w:rPr>
        <w:t>Chevron</w:t>
      </w:r>
      <w:r>
        <w:t xml:space="preserve"> </w:t>
      </w:r>
      <w:r>
        <w:rPr>
          <w:color w:val="4472C4"/>
          <w:u w:val="single"/>
        </w:rPr>
        <w:t>demandó</w:t>
      </w:r>
      <w:r>
        <w:t xml:space="preserve"> a Ecuador por intentar hacer pagar a la compañía por el devastador impacto ambiental y la contaminación producida de la actividad minera en la región am</w:t>
      </w:r>
      <w:r>
        <w:t>azónica.</w:t>
      </w:r>
    </w:p>
    <w:p w14:paraId="641E13FC" w14:textId="77777777" w:rsidR="00595931" w:rsidRDefault="00595931">
      <w:pPr>
        <w:spacing w:after="0"/>
        <w:jc w:val="both"/>
      </w:pPr>
    </w:p>
    <w:p w14:paraId="70F1A128" w14:textId="77777777" w:rsidR="00595931" w:rsidRDefault="002B2995">
      <w:pPr>
        <w:spacing w:after="0"/>
        <w:jc w:val="both"/>
      </w:pPr>
      <w:r>
        <w:rPr>
          <w:b/>
        </w:rPr>
        <w:t>Glencore</w:t>
      </w:r>
      <w:r>
        <w:t xml:space="preserve"> </w:t>
      </w:r>
      <w:r>
        <w:rPr>
          <w:color w:val="4472C4"/>
          <w:u w:val="single"/>
        </w:rPr>
        <w:t>demandó</w:t>
      </w:r>
      <w:r>
        <w:t xml:space="preserve"> al gobierno colombiano por restringir la expansión de una contaminante mina de carbón a cielo abierto.</w:t>
      </w:r>
    </w:p>
    <w:p w14:paraId="00C069FB" w14:textId="77777777" w:rsidR="00595931" w:rsidRDefault="00595931">
      <w:pPr>
        <w:spacing w:after="0"/>
        <w:jc w:val="both"/>
      </w:pPr>
    </w:p>
    <w:p w14:paraId="70AE6BC4" w14:textId="77777777" w:rsidR="00595931" w:rsidRDefault="002B2995">
      <w:pPr>
        <w:spacing w:after="0"/>
        <w:jc w:val="both"/>
      </w:pPr>
      <w:r>
        <w:rPr>
          <w:b/>
        </w:rPr>
        <w:t>Engie</w:t>
      </w:r>
      <w:r>
        <w:t xml:space="preserve"> </w:t>
      </w:r>
      <w:r>
        <w:rPr>
          <w:color w:val="4472C4"/>
          <w:u w:val="single"/>
        </w:rPr>
        <w:t xml:space="preserve">demandó </w:t>
      </w:r>
      <w:r>
        <w:t>a Hungría después de que el gobierno aumentara los impuestos sobre las compañías energéticas extranjeras e inte</w:t>
      </w:r>
      <w:r>
        <w:t>ntara bajar los precios para los consumidores.</w:t>
      </w:r>
    </w:p>
    <w:p w14:paraId="6E693723" w14:textId="77777777" w:rsidR="00595931" w:rsidRDefault="00595931">
      <w:pPr>
        <w:spacing w:after="0"/>
        <w:jc w:val="both"/>
      </w:pPr>
    </w:p>
    <w:p w14:paraId="55752589" w14:textId="77777777" w:rsidR="00595931" w:rsidRDefault="002B2995">
      <w:pPr>
        <w:spacing w:after="0"/>
        <w:jc w:val="both"/>
      </w:pPr>
      <w:r>
        <w:rPr>
          <w:b/>
        </w:rPr>
        <w:t>Mobil</w:t>
      </w:r>
      <w:r>
        <w:t xml:space="preserve"> </w:t>
      </w:r>
      <w:r>
        <w:rPr>
          <w:color w:val="4472C4"/>
          <w:u w:val="single"/>
        </w:rPr>
        <w:t xml:space="preserve">demandó </w:t>
      </w:r>
      <w:r>
        <w:t>al gobierno canadiense después de que la provincia de NewFoundland tratara de asegurar que un porcentaje de las ganancias de la extracción de gas en el mar se reinvirtiera en investigación y des</w:t>
      </w:r>
      <w:r>
        <w:t>arrollo en la región.</w:t>
      </w:r>
    </w:p>
    <w:p w14:paraId="0A2DE14C" w14:textId="77777777" w:rsidR="00595931" w:rsidRDefault="00595931">
      <w:pPr>
        <w:spacing w:after="0"/>
        <w:jc w:val="both"/>
      </w:pPr>
    </w:p>
    <w:p w14:paraId="1D28E300" w14:textId="77777777" w:rsidR="00595931" w:rsidRDefault="002B2995">
      <w:pPr>
        <w:spacing w:after="0"/>
      </w:pPr>
      <w:r>
        <w:rPr>
          <w:b/>
        </w:rPr>
        <w:t>Total</w:t>
      </w:r>
      <w:r>
        <w:t xml:space="preserve"> </w:t>
      </w:r>
      <w:r>
        <w:rPr>
          <w:color w:val="4472C4"/>
          <w:u w:val="single"/>
        </w:rPr>
        <w:t>está demandando</w:t>
      </w:r>
      <w:r>
        <w:rPr>
          <w:color w:val="4472C4"/>
        </w:rPr>
        <w:t xml:space="preserve"> </w:t>
      </w:r>
      <w:r>
        <w:t>a Uganda después de que el gobierno impusiera impuestos a la compra de bloques de exploración petrolera.</w:t>
      </w:r>
    </w:p>
    <w:p w14:paraId="449927EE" w14:textId="77777777" w:rsidR="00595931" w:rsidRDefault="00595931">
      <w:pPr>
        <w:spacing w:after="0"/>
      </w:pPr>
    </w:p>
    <w:p w14:paraId="429DA064" w14:textId="77777777" w:rsidR="00595931" w:rsidRDefault="002B2995">
      <w:pPr>
        <w:spacing w:after="0"/>
        <w:jc w:val="both"/>
      </w:pPr>
      <w:r>
        <w:rPr>
          <w:b/>
        </w:rPr>
        <w:t>Scotia Bank</w:t>
      </w:r>
      <w:r>
        <w:t xml:space="preserve"> </w:t>
      </w:r>
      <w:r>
        <w:rPr>
          <w:color w:val="4472C4"/>
          <w:u w:val="single"/>
        </w:rPr>
        <w:t>demandó</w:t>
      </w:r>
      <w:r>
        <w:t xml:space="preserve"> a Argentina por más de 500 millones de dólares por medidas tomadas durante la crisis </w:t>
      </w:r>
      <w:r>
        <w:t>financiera argentina de 2002.</w:t>
      </w:r>
    </w:p>
    <w:p w14:paraId="341EE862" w14:textId="77777777" w:rsidR="00595931" w:rsidRDefault="00595931">
      <w:pPr>
        <w:spacing w:after="0"/>
        <w:jc w:val="both"/>
      </w:pPr>
    </w:p>
    <w:p w14:paraId="20C5B917" w14:textId="77777777" w:rsidR="00595931" w:rsidRDefault="002B2995">
      <w:pPr>
        <w:spacing w:after="0"/>
        <w:jc w:val="both"/>
      </w:pPr>
      <w:r>
        <w:rPr>
          <w:b/>
        </w:rPr>
        <w:t>Mercuria</w:t>
      </w:r>
      <w:r>
        <w:t xml:space="preserve">, un comerciante suizo de materias primas </w:t>
      </w:r>
      <w:r>
        <w:rPr>
          <w:color w:val="4472C4"/>
          <w:u w:val="single"/>
        </w:rPr>
        <w:t xml:space="preserve">demandó </w:t>
      </w:r>
      <w:r>
        <w:t>a Polonia a través de una filial chipriota por aplicar una directiva de la UE sobre reservas obligatorias de combustible que, según ellos, afectaba negativamente a sus</w:t>
      </w:r>
      <w:r>
        <w:t xml:space="preserve"> beneficios.</w:t>
      </w:r>
    </w:p>
    <w:p w14:paraId="5C5A77C1" w14:textId="77777777" w:rsidR="00595931" w:rsidRDefault="00595931">
      <w:pPr>
        <w:spacing w:after="0"/>
        <w:jc w:val="both"/>
      </w:pPr>
    </w:p>
    <w:p w14:paraId="15B0FD22" w14:textId="77777777" w:rsidR="00595931" w:rsidRDefault="002B2995">
      <w:pPr>
        <w:spacing w:after="0"/>
        <w:jc w:val="both"/>
      </w:pPr>
      <w:r>
        <w:rPr>
          <w:b/>
        </w:rPr>
        <w:t xml:space="preserve">Shell </w:t>
      </w:r>
      <w:r>
        <w:rPr>
          <w:color w:val="4472C4"/>
          <w:u w:val="single"/>
        </w:rPr>
        <w:t xml:space="preserve">demandó </w:t>
      </w:r>
      <w:r>
        <w:t>a Filipinas, a través de una subsidiaria holandesa curiosamente llamada "Shell Filipinas", por los intentos del gobierno de hacer que los extractores de gas en el mar pagaran su parte justa de impuestos.</w:t>
      </w:r>
    </w:p>
    <w:p w14:paraId="41EBC8E9" w14:textId="77777777" w:rsidR="00595931" w:rsidRDefault="00595931">
      <w:pPr>
        <w:spacing w:after="0"/>
        <w:jc w:val="both"/>
      </w:pPr>
    </w:p>
    <w:p w14:paraId="0D875808" w14:textId="77777777" w:rsidR="00595931" w:rsidRDefault="002B2995">
      <w:pPr>
        <w:spacing w:after="0"/>
        <w:jc w:val="both"/>
      </w:pPr>
      <w:r>
        <w:rPr>
          <w:b/>
        </w:rPr>
        <w:t>Credit Suisse</w:t>
      </w:r>
      <w:r>
        <w:t xml:space="preserve"> y </w:t>
      </w:r>
      <w:r>
        <w:rPr>
          <w:b/>
        </w:rPr>
        <w:t>Standard Chartered</w:t>
      </w:r>
      <w:r>
        <w:t xml:space="preserve"> d</w:t>
      </w:r>
      <w:r>
        <w:rPr>
          <w:color w:val="4472C4"/>
          <w:u w:val="single"/>
        </w:rPr>
        <w:t>emandaron</w:t>
      </w:r>
      <w:r>
        <w:t xml:space="preserve"> al gobierno indú por "no proteger los préstamos de los inversores".</w:t>
      </w:r>
    </w:p>
    <w:p w14:paraId="1C48E607" w14:textId="77777777" w:rsidR="00595931" w:rsidRDefault="002B2995">
      <w:pPr>
        <w:spacing w:after="0"/>
        <w:jc w:val="both"/>
      </w:pPr>
      <w:r>
        <w:rPr>
          <w:b/>
        </w:rPr>
        <w:t>Siemens</w:t>
      </w:r>
      <w:r>
        <w:t xml:space="preserve"> </w:t>
      </w:r>
      <w:r>
        <w:rPr>
          <w:color w:val="4472C4"/>
          <w:u w:val="single"/>
        </w:rPr>
        <w:t>demandó</w:t>
      </w:r>
      <w:r>
        <w:t xml:space="preserve"> a Argentina por la cancelación de un contrato de servicios públicos subcontratados, después de fracasos generalizados. Siemens recibió más de </w:t>
      </w:r>
      <w:r>
        <w:t>200 millones de dólares.</w:t>
      </w:r>
    </w:p>
    <w:p w14:paraId="33AD5A15" w14:textId="77777777" w:rsidR="00595931" w:rsidRDefault="00595931">
      <w:pPr>
        <w:spacing w:after="0"/>
        <w:jc w:val="both"/>
      </w:pPr>
    </w:p>
    <w:p w14:paraId="1C65B2AB" w14:textId="77777777" w:rsidR="00595931" w:rsidRDefault="002B2995">
      <w:pPr>
        <w:spacing w:after="0"/>
        <w:jc w:val="both"/>
      </w:pPr>
      <w:r>
        <w:t xml:space="preserve">En 2016, </w:t>
      </w:r>
      <w:r>
        <w:rPr>
          <w:b/>
        </w:rPr>
        <w:t>Novartis</w:t>
      </w:r>
      <w:r>
        <w:t xml:space="preserve"> </w:t>
      </w:r>
      <w:r>
        <w:rPr>
          <w:color w:val="4472C4"/>
          <w:u w:val="single"/>
        </w:rPr>
        <w:t>amenazó con utilizar ISDS</w:t>
      </w:r>
      <w:r>
        <w:rPr>
          <w:color w:val="4472C4"/>
        </w:rPr>
        <w:t xml:space="preserve"> </w:t>
      </w:r>
      <w:r>
        <w:t xml:space="preserve">para disuadir al gobierno colombiano de intentar hacer más accesible un fármaco contra la leucemia que salvaría vidas a través de licencias obligatorias. El medicamento, que ha generado </w:t>
      </w:r>
      <w:r>
        <w:t>más de 45.000 millones de euros en ingresos para Novartis, se vendió en Colombia por más de 15.000 dólares por paciente y año, el doble de los ingresos medios de una persona.</w:t>
      </w:r>
    </w:p>
    <w:p w14:paraId="04841833" w14:textId="77777777" w:rsidR="00595931" w:rsidRDefault="00595931">
      <w:pPr>
        <w:spacing w:after="0"/>
        <w:jc w:val="both"/>
      </w:pPr>
    </w:p>
    <w:p w14:paraId="5AA11A58" w14:textId="77777777" w:rsidR="00595931" w:rsidRDefault="002B2995">
      <w:pPr>
        <w:spacing w:after="0"/>
        <w:jc w:val="both"/>
      </w:pPr>
      <w:r>
        <w:rPr>
          <w:b/>
        </w:rPr>
        <w:t>Cargill</w:t>
      </w:r>
      <w:r>
        <w:t xml:space="preserve">, que produce productos alimenticios, </w:t>
      </w:r>
      <w:r>
        <w:rPr>
          <w:color w:val="4472C4"/>
          <w:u w:val="single"/>
        </w:rPr>
        <w:t xml:space="preserve">demandó </w:t>
      </w:r>
      <w:r>
        <w:t>al gobierno mexicano por im</w:t>
      </w:r>
      <w:r>
        <w:t>plementar un impuesto a las bebidas que contienen jarabe de maíz con alto contenido de fructosa. El impuesto fue un intento de abordar la creciente crisis de diabetes y obesidad del país, la segunda más alta de la OCDE después de la de Estados Unidos. Carg</w:t>
      </w:r>
      <w:r>
        <w:t>ill utilizó un proceso ISDS bajo el TLCAN para extraer más de 70 millones de dólares en daños del presupuesto público mexicano. En el Foro Económico Mundial de 2018, Cargill se comprometió a utilizar "el poder de los alimentos para abordar la desigualdad s</w:t>
      </w:r>
      <w:r>
        <w:t>ocial".</w:t>
      </w:r>
    </w:p>
    <w:p w14:paraId="717C762F" w14:textId="77777777" w:rsidR="00595931" w:rsidRDefault="00595931">
      <w:pPr>
        <w:spacing w:after="0"/>
        <w:jc w:val="both"/>
      </w:pPr>
    </w:p>
    <w:p w14:paraId="4ECEEF92" w14:textId="77777777" w:rsidR="00595931" w:rsidRDefault="002B2995">
      <w:pPr>
        <w:spacing w:after="0"/>
        <w:jc w:val="both"/>
      </w:pPr>
      <w:r>
        <w:rPr>
          <w:b/>
        </w:rPr>
        <w:t>Dow Chemical</w:t>
      </w:r>
      <w:r>
        <w:t xml:space="preserve"> </w:t>
      </w:r>
      <w:r>
        <w:rPr>
          <w:color w:val="4472C4"/>
          <w:u w:val="single"/>
        </w:rPr>
        <w:t xml:space="preserve">demandó </w:t>
      </w:r>
      <w:r>
        <w:t>a Canadá después de que Quebec prohibiera la fabricación y venta de pesticidas dañinos. Dow Agrosciences declaró el acuerdo subsiguiente una victoria, y los comentaristas señalaron que el caso podría desalentar a otros gobiern</w:t>
      </w:r>
      <w:r>
        <w:t>os a seguir adelante con sus propias prohibiciones de plaguicidas.</w:t>
      </w:r>
    </w:p>
    <w:p w14:paraId="73C98FAC" w14:textId="77777777" w:rsidR="00595931" w:rsidRDefault="00595931"/>
    <w:p w14:paraId="1699BF4F" w14:textId="77777777" w:rsidR="00595931" w:rsidRDefault="002B2995">
      <w:r>
        <w:rPr>
          <w:b/>
        </w:rPr>
        <w:t>Lista completa de los socios industriales del FEM con casos ISDS en curso o concluidos</w:t>
      </w:r>
      <w:r>
        <w:t>:</w:t>
      </w:r>
    </w:p>
    <w:tbl>
      <w:tblPr>
        <w:tblStyle w:val="a"/>
        <w:tblW w:w="10430" w:type="dxa"/>
        <w:tblLayout w:type="fixed"/>
        <w:tblLook w:val="0400" w:firstRow="0" w:lastRow="0" w:firstColumn="0" w:lastColumn="0" w:noHBand="0" w:noVBand="1"/>
      </w:tblPr>
      <w:tblGrid>
        <w:gridCol w:w="2790"/>
        <w:gridCol w:w="7640"/>
      </w:tblGrid>
      <w:tr w:rsidR="00595931" w14:paraId="0037AF08" w14:textId="77777777">
        <w:trPr>
          <w:trHeight w:val="280"/>
        </w:trPr>
        <w:tc>
          <w:tcPr>
            <w:tcW w:w="2790" w:type="dxa"/>
            <w:tcBorders>
              <w:top w:val="nil"/>
              <w:left w:val="nil"/>
              <w:bottom w:val="nil"/>
              <w:right w:val="nil"/>
            </w:tcBorders>
            <w:shd w:val="clear" w:color="auto" w:fill="auto"/>
            <w:vAlign w:val="bottom"/>
          </w:tcPr>
          <w:p w14:paraId="234CFD10" w14:textId="77777777" w:rsidR="00595931" w:rsidRDefault="002B2995">
            <w:pPr>
              <w:spacing w:after="0" w:line="240" w:lineRule="auto"/>
              <w:rPr>
                <w:b/>
                <w:color w:val="000000"/>
              </w:rPr>
            </w:pPr>
            <w:r>
              <w:rPr>
                <w:b/>
                <w:color w:val="000000"/>
              </w:rPr>
              <w:t>Nombre de la Compañia</w:t>
            </w:r>
          </w:p>
        </w:tc>
        <w:tc>
          <w:tcPr>
            <w:tcW w:w="7640" w:type="dxa"/>
            <w:tcBorders>
              <w:top w:val="nil"/>
              <w:left w:val="nil"/>
              <w:bottom w:val="nil"/>
              <w:right w:val="nil"/>
            </w:tcBorders>
            <w:shd w:val="clear" w:color="auto" w:fill="auto"/>
            <w:vAlign w:val="bottom"/>
          </w:tcPr>
          <w:p w14:paraId="5B950D9A" w14:textId="77777777" w:rsidR="00595931" w:rsidRDefault="002B2995">
            <w:pPr>
              <w:spacing w:after="0" w:line="240" w:lineRule="auto"/>
              <w:rPr>
                <w:b/>
                <w:color w:val="000000"/>
              </w:rPr>
            </w:pPr>
            <w:r>
              <w:rPr>
                <w:b/>
                <w:color w:val="000000"/>
              </w:rPr>
              <w:t xml:space="preserve">Caso de inversión </w:t>
            </w:r>
          </w:p>
        </w:tc>
      </w:tr>
      <w:tr w:rsidR="00595931" w14:paraId="20060A4B" w14:textId="77777777">
        <w:trPr>
          <w:trHeight w:val="280"/>
        </w:trPr>
        <w:tc>
          <w:tcPr>
            <w:tcW w:w="2790" w:type="dxa"/>
            <w:tcBorders>
              <w:top w:val="nil"/>
              <w:left w:val="nil"/>
              <w:bottom w:val="nil"/>
              <w:right w:val="nil"/>
            </w:tcBorders>
            <w:shd w:val="clear" w:color="auto" w:fill="auto"/>
            <w:vAlign w:val="bottom"/>
          </w:tcPr>
          <w:p w14:paraId="73427076" w14:textId="77777777" w:rsidR="00595931" w:rsidRDefault="002B2995">
            <w:pPr>
              <w:spacing w:after="0" w:line="240" w:lineRule="auto"/>
            </w:pPr>
            <w:r>
              <w:t>Agility Telecommunications</w:t>
            </w:r>
          </w:p>
        </w:tc>
        <w:tc>
          <w:tcPr>
            <w:tcW w:w="7640" w:type="dxa"/>
            <w:tcBorders>
              <w:top w:val="nil"/>
              <w:left w:val="nil"/>
              <w:bottom w:val="nil"/>
              <w:right w:val="nil"/>
            </w:tcBorders>
            <w:shd w:val="clear" w:color="auto" w:fill="auto"/>
            <w:vAlign w:val="bottom"/>
          </w:tcPr>
          <w:p w14:paraId="56E165AA" w14:textId="77777777" w:rsidR="00595931" w:rsidRDefault="002B2995">
            <w:pPr>
              <w:spacing w:after="0" w:line="240" w:lineRule="auto"/>
              <w:rPr>
                <w:color w:val="4472C4"/>
              </w:rPr>
            </w:pPr>
            <w:hyperlink r:id="rId21">
              <w:r>
                <w:rPr>
                  <w:color w:val="4472C4"/>
                  <w:u w:val="single"/>
                </w:rPr>
                <w:t>https://investmentpolicyhub.unctad.org/ISDS/Details/793</w:t>
              </w:r>
            </w:hyperlink>
            <w:r>
              <w:rPr>
                <w:color w:val="4472C4"/>
              </w:rPr>
              <w:t xml:space="preserve"> </w:t>
            </w:r>
          </w:p>
        </w:tc>
      </w:tr>
      <w:tr w:rsidR="00595931" w14:paraId="1AA5AA00" w14:textId="77777777">
        <w:trPr>
          <w:trHeight w:val="280"/>
        </w:trPr>
        <w:tc>
          <w:tcPr>
            <w:tcW w:w="2790" w:type="dxa"/>
            <w:tcBorders>
              <w:top w:val="nil"/>
              <w:left w:val="nil"/>
              <w:bottom w:val="nil"/>
              <w:right w:val="nil"/>
            </w:tcBorders>
            <w:shd w:val="clear" w:color="auto" w:fill="auto"/>
            <w:vAlign w:val="bottom"/>
          </w:tcPr>
          <w:p w14:paraId="22C5A96D" w14:textId="77777777" w:rsidR="00595931" w:rsidRDefault="002B2995">
            <w:pPr>
              <w:spacing w:after="0" w:line="240" w:lineRule="auto"/>
            </w:pPr>
            <w:r>
              <w:t xml:space="preserve">Airbus </w:t>
            </w:r>
          </w:p>
        </w:tc>
        <w:tc>
          <w:tcPr>
            <w:tcW w:w="7640" w:type="dxa"/>
            <w:tcBorders>
              <w:top w:val="nil"/>
              <w:left w:val="nil"/>
              <w:bottom w:val="nil"/>
              <w:right w:val="nil"/>
            </w:tcBorders>
            <w:shd w:val="clear" w:color="auto" w:fill="auto"/>
            <w:vAlign w:val="bottom"/>
          </w:tcPr>
          <w:p w14:paraId="14018DB2" w14:textId="77777777" w:rsidR="00595931" w:rsidRDefault="002B2995">
            <w:pPr>
              <w:spacing w:after="0" w:line="240" w:lineRule="auto"/>
              <w:rPr>
                <w:color w:val="4472C4"/>
              </w:rPr>
            </w:pPr>
            <w:hyperlink r:id="rId22">
              <w:r>
                <w:rPr>
                  <w:color w:val="4472C4"/>
                  <w:u w:val="single"/>
                </w:rPr>
                <w:t>https://investmentpolicyhub.unctad.org/ISDS/Details/907</w:t>
              </w:r>
            </w:hyperlink>
            <w:r>
              <w:rPr>
                <w:color w:val="4472C4"/>
              </w:rPr>
              <w:t xml:space="preserve"> </w:t>
            </w:r>
          </w:p>
        </w:tc>
      </w:tr>
      <w:tr w:rsidR="00595931" w14:paraId="09CBD6EE" w14:textId="77777777">
        <w:trPr>
          <w:trHeight w:val="280"/>
        </w:trPr>
        <w:tc>
          <w:tcPr>
            <w:tcW w:w="2790" w:type="dxa"/>
            <w:tcBorders>
              <w:top w:val="nil"/>
              <w:left w:val="nil"/>
              <w:bottom w:val="nil"/>
              <w:right w:val="nil"/>
            </w:tcBorders>
            <w:shd w:val="clear" w:color="auto" w:fill="auto"/>
            <w:vAlign w:val="bottom"/>
          </w:tcPr>
          <w:p w14:paraId="60778EA6" w14:textId="77777777" w:rsidR="00595931" w:rsidRDefault="002B2995">
            <w:pPr>
              <w:spacing w:after="0" w:line="240" w:lineRule="auto"/>
            </w:pPr>
            <w:r>
              <w:t>DP World</w:t>
            </w:r>
          </w:p>
        </w:tc>
        <w:tc>
          <w:tcPr>
            <w:tcW w:w="7640" w:type="dxa"/>
            <w:tcBorders>
              <w:top w:val="nil"/>
              <w:left w:val="nil"/>
              <w:bottom w:val="nil"/>
              <w:right w:val="nil"/>
            </w:tcBorders>
            <w:shd w:val="clear" w:color="auto" w:fill="auto"/>
            <w:vAlign w:val="bottom"/>
          </w:tcPr>
          <w:p w14:paraId="65A86F89" w14:textId="77777777" w:rsidR="00595931" w:rsidRDefault="002B2995">
            <w:pPr>
              <w:spacing w:after="0" w:line="240" w:lineRule="auto"/>
              <w:rPr>
                <w:color w:val="4472C4"/>
                <w:u w:val="single"/>
              </w:rPr>
            </w:pPr>
            <w:hyperlink r:id="rId23">
              <w:r>
                <w:rPr>
                  <w:color w:val="4472C4"/>
                  <w:u w:val="single"/>
                </w:rPr>
                <w:t>https://investmentpolicyhub.unctad.org/ISDS/Details/807</w:t>
              </w:r>
            </w:hyperlink>
            <w:r>
              <w:rPr>
                <w:color w:val="4472C4"/>
                <w:u w:val="single"/>
              </w:rPr>
              <w:t xml:space="preserve"> </w:t>
            </w:r>
          </w:p>
        </w:tc>
      </w:tr>
      <w:tr w:rsidR="00595931" w14:paraId="3F5D1F97" w14:textId="77777777">
        <w:trPr>
          <w:trHeight w:val="280"/>
        </w:trPr>
        <w:tc>
          <w:tcPr>
            <w:tcW w:w="2790" w:type="dxa"/>
            <w:tcBorders>
              <w:top w:val="nil"/>
              <w:left w:val="nil"/>
              <w:bottom w:val="nil"/>
              <w:right w:val="nil"/>
            </w:tcBorders>
            <w:shd w:val="clear" w:color="auto" w:fill="auto"/>
            <w:vAlign w:val="bottom"/>
          </w:tcPr>
          <w:p w14:paraId="6C011B1C" w14:textId="77777777" w:rsidR="00595931" w:rsidRDefault="002B2995">
            <w:pPr>
              <w:spacing w:after="0" w:line="240" w:lineRule="auto"/>
            </w:pPr>
            <w:r>
              <w:t>Iberdrola</w:t>
            </w:r>
          </w:p>
        </w:tc>
        <w:tc>
          <w:tcPr>
            <w:tcW w:w="7640" w:type="dxa"/>
            <w:tcBorders>
              <w:top w:val="nil"/>
              <w:left w:val="nil"/>
              <w:bottom w:val="nil"/>
              <w:right w:val="nil"/>
            </w:tcBorders>
            <w:shd w:val="clear" w:color="auto" w:fill="auto"/>
            <w:vAlign w:val="bottom"/>
          </w:tcPr>
          <w:p w14:paraId="0179F949" w14:textId="77777777" w:rsidR="00595931" w:rsidRDefault="002B2995">
            <w:pPr>
              <w:spacing w:after="0" w:line="240" w:lineRule="auto"/>
              <w:rPr>
                <w:color w:val="4472C4"/>
              </w:rPr>
            </w:pPr>
            <w:hyperlink r:id="rId24">
              <w:r>
                <w:rPr>
                  <w:color w:val="4472C4"/>
                  <w:u w:val="single"/>
                </w:rPr>
                <w:t>https://investmentpolicyhub.unctad.org/ISDS/Details/901</w:t>
              </w:r>
            </w:hyperlink>
            <w:r>
              <w:rPr>
                <w:color w:val="4472C4"/>
              </w:rPr>
              <w:t xml:space="preserve"> </w:t>
            </w:r>
          </w:p>
        </w:tc>
      </w:tr>
      <w:tr w:rsidR="00595931" w14:paraId="00A64ECB" w14:textId="77777777">
        <w:trPr>
          <w:trHeight w:val="280"/>
        </w:trPr>
        <w:tc>
          <w:tcPr>
            <w:tcW w:w="2790" w:type="dxa"/>
            <w:tcBorders>
              <w:top w:val="nil"/>
              <w:left w:val="nil"/>
              <w:bottom w:val="nil"/>
              <w:right w:val="nil"/>
            </w:tcBorders>
            <w:shd w:val="clear" w:color="auto" w:fill="auto"/>
            <w:vAlign w:val="bottom"/>
          </w:tcPr>
          <w:p w14:paraId="7291B4ED" w14:textId="77777777" w:rsidR="00595931" w:rsidRDefault="002B2995">
            <w:pPr>
              <w:spacing w:after="0" w:line="240" w:lineRule="auto"/>
            </w:pPr>
            <w:r>
              <w:t>Nissan</w:t>
            </w:r>
          </w:p>
        </w:tc>
        <w:tc>
          <w:tcPr>
            <w:tcW w:w="7640" w:type="dxa"/>
            <w:tcBorders>
              <w:top w:val="nil"/>
              <w:left w:val="nil"/>
              <w:bottom w:val="nil"/>
              <w:right w:val="nil"/>
            </w:tcBorders>
            <w:shd w:val="clear" w:color="auto" w:fill="auto"/>
            <w:vAlign w:val="bottom"/>
          </w:tcPr>
          <w:p w14:paraId="5AD6E1EE" w14:textId="77777777" w:rsidR="00595931" w:rsidRDefault="002B2995">
            <w:pPr>
              <w:spacing w:after="0" w:line="240" w:lineRule="auto"/>
              <w:rPr>
                <w:color w:val="4472C4"/>
                <w:u w:val="single"/>
              </w:rPr>
            </w:pPr>
            <w:hyperlink r:id="rId25">
              <w:r>
                <w:rPr>
                  <w:color w:val="4472C4"/>
                  <w:u w:val="single"/>
                </w:rPr>
                <w:t>https://investmentpolicyhub.unctad.org/ISDS/Details/828</w:t>
              </w:r>
            </w:hyperlink>
            <w:r>
              <w:rPr>
                <w:color w:val="4472C4"/>
                <w:u w:val="single"/>
              </w:rPr>
              <w:t xml:space="preserve"> </w:t>
            </w:r>
          </w:p>
        </w:tc>
      </w:tr>
      <w:tr w:rsidR="00595931" w14:paraId="7C901A1A" w14:textId="77777777">
        <w:trPr>
          <w:trHeight w:val="280"/>
        </w:trPr>
        <w:tc>
          <w:tcPr>
            <w:tcW w:w="2790" w:type="dxa"/>
            <w:tcBorders>
              <w:top w:val="nil"/>
              <w:left w:val="nil"/>
              <w:bottom w:val="nil"/>
              <w:right w:val="nil"/>
            </w:tcBorders>
            <w:shd w:val="clear" w:color="auto" w:fill="auto"/>
            <w:vAlign w:val="bottom"/>
          </w:tcPr>
          <w:p w14:paraId="0729615F" w14:textId="77777777" w:rsidR="00595931" w:rsidRDefault="002B2995">
            <w:pPr>
              <w:spacing w:after="0" w:line="240" w:lineRule="auto"/>
            </w:pPr>
            <w:r>
              <w:t>Puma Energy</w:t>
            </w:r>
          </w:p>
        </w:tc>
        <w:tc>
          <w:tcPr>
            <w:tcW w:w="7640" w:type="dxa"/>
            <w:tcBorders>
              <w:top w:val="nil"/>
              <w:left w:val="nil"/>
              <w:bottom w:val="nil"/>
              <w:right w:val="nil"/>
            </w:tcBorders>
            <w:shd w:val="clear" w:color="auto" w:fill="auto"/>
            <w:vAlign w:val="bottom"/>
          </w:tcPr>
          <w:p w14:paraId="59891FA6" w14:textId="77777777" w:rsidR="00595931" w:rsidRDefault="002B2995">
            <w:pPr>
              <w:spacing w:after="0" w:line="240" w:lineRule="auto"/>
              <w:rPr>
                <w:color w:val="4472C4"/>
              </w:rPr>
            </w:pPr>
            <w:hyperlink r:id="rId26">
              <w:r>
                <w:rPr>
                  <w:color w:val="4472C4"/>
                  <w:u w:val="single"/>
                </w:rPr>
                <w:t>https://investmentpolicyhub.unctad.org/ISDS/Details/820</w:t>
              </w:r>
            </w:hyperlink>
            <w:r>
              <w:rPr>
                <w:color w:val="4472C4"/>
              </w:rPr>
              <w:t xml:space="preserve"> </w:t>
            </w:r>
          </w:p>
        </w:tc>
      </w:tr>
      <w:tr w:rsidR="00595931" w14:paraId="27DAB67D" w14:textId="77777777">
        <w:trPr>
          <w:trHeight w:val="280"/>
        </w:trPr>
        <w:tc>
          <w:tcPr>
            <w:tcW w:w="2790" w:type="dxa"/>
            <w:tcBorders>
              <w:top w:val="nil"/>
              <w:left w:val="nil"/>
              <w:bottom w:val="nil"/>
              <w:right w:val="nil"/>
            </w:tcBorders>
            <w:shd w:val="clear" w:color="auto" w:fill="auto"/>
            <w:vAlign w:val="bottom"/>
          </w:tcPr>
          <w:p w14:paraId="3F464417" w14:textId="77777777" w:rsidR="00595931" w:rsidRDefault="002B2995">
            <w:pPr>
              <w:spacing w:after="0" w:line="240" w:lineRule="auto"/>
            </w:pPr>
            <w:r>
              <w:t>Engie</w:t>
            </w:r>
          </w:p>
        </w:tc>
        <w:tc>
          <w:tcPr>
            <w:tcW w:w="7640" w:type="dxa"/>
            <w:tcBorders>
              <w:top w:val="nil"/>
              <w:left w:val="nil"/>
              <w:bottom w:val="nil"/>
              <w:right w:val="nil"/>
            </w:tcBorders>
            <w:shd w:val="clear" w:color="auto" w:fill="auto"/>
            <w:vAlign w:val="bottom"/>
          </w:tcPr>
          <w:p w14:paraId="05AF0EE2" w14:textId="77777777" w:rsidR="00595931" w:rsidRDefault="002B2995">
            <w:pPr>
              <w:spacing w:after="0" w:line="240" w:lineRule="auto"/>
              <w:rPr>
                <w:color w:val="4472C4"/>
              </w:rPr>
            </w:pPr>
            <w:hyperlink r:id="rId27">
              <w:r>
                <w:rPr>
                  <w:color w:val="4472C4"/>
                  <w:u w:val="single"/>
                </w:rPr>
                <w:t>https://investmentpolicyhub.unctad.org/ISDS/Details/712</w:t>
              </w:r>
            </w:hyperlink>
            <w:r>
              <w:rPr>
                <w:color w:val="4472C4"/>
              </w:rPr>
              <w:t xml:space="preserve"> </w:t>
            </w:r>
          </w:p>
        </w:tc>
      </w:tr>
      <w:tr w:rsidR="00595931" w14:paraId="0FAC79D8" w14:textId="77777777">
        <w:trPr>
          <w:trHeight w:val="280"/>
        </w:trPr>
        <w:tc>
          <w:tcPr>
            <w:tcW w:w="2790" w:type="dxa"/>
            <w:tcBorders>
              <w:top w:val="nil"/>
              <w:left w:val="nil"/>
              <w:bottom w:val="nil"/>
              <w:right w:val="nil"/>
            </w:tcBorders>
            <w:shd w:val="clear" w:color="auto" w:fill="auto"/>
            <w:vAlign w:val="bottom"/>
          </w:tcPr>
          <w:p w14:paraId="0C97B0B5" w14:textId="77777777" w:rsidR="00595931" w:rsidRDefault="002B2995">
            <w:pPr>
              <w:spacing w:after="0" w:line="240" w:lineRule="auto"/>
            </w:pPr>
            <w:r>
              <w:t>G</w:t>
            </w:r>
            <w:r>
              <w:t>lencore</w:t>
            </w:r>
          </w:p>
        </w:tc>
        <w:tc>
          <w:tcPr>
            <w:tcW w:w="7640" w:type="dxa"/>
            <w:tcBorders>
              <w:top w:val="nil"/>
              <w:left w:val="nil"/>
              <w:bottom w:val="nil"/>
              <w:right w:val="nil"/>
            </w:tcBorders>
            <w:shd w:val="clear" w:color="auto" w:fill="auto"/>
            <w:vAlign w:val="bottom"/>
          </w:tcPr>
          <w:p w14:paraId="3262B452" w14:textId="77777777" w:rsidR="00595931" w:rsidRDefault="002B2995">
            <w:pPr>
              <w:spacing w:after="0" w:line="240" w:lineRule="auto"/>
              <w:rPr>
                <w:color w:val="4472C4"/>
              </w:rPr>
            </w:pPr>
            <w:hyperlink r:id="rId28">
              <w:r>
                <w:rPr>
                  <w:color w:val="4472C4"/>
                  <w:u w:val="single"/>
                </w:rPr>
                <w:t>https://investmentpolicyhub.unctad.org/ISDS/Details/728</w:t>
              </w:r>
            </w:hyperlink>
            <w:r>
              <w:rPr>
                <w:color w:val="4472C4"/>
              </w:rPr>
              <w:t xml:space="preserve"> </w:t>
            </w:r>
          </w:p>
        </w:tc>
      </w:tr>
      <w:tr w:rsidR="00595931" w14:paraId="655B046F" w14:textId="77777777">
        <w:trPr>
          <w:trHeight w:val="280"/>
        </w:trPr>
        <w:tc>
          <w:tcPr>
            <w:tcW w:w="2790" w:type="dxa"/>
            <w:tcBorders>
              <w:top w:val="nil"/>
              <w:left w:val="nil"/>
              <w:bottom w:val="nil"/>
              <w:right w:val="nil"/>
            </w:tcBorders>
            <w:shd w:val="clear" w:color="auto" w:fill="auto"/>
            <w:vAlign w:val="bottom"/>
          </w:tcPr>
          <w:p w14:paraId="66CB14F4" w14:textId="77777777" w:rsidR="00595931" w:rsidRDefault="002B2995">
            <w:pPr>
              <w:spacing w:after="0" w:line="240" w:lineRule="auto"/>
            </w:pPr>
            <w:r>
              <w:t>Shell</w:t>
            </w:r>
          </w:p>
        </w:tc>
        <w:tc>
          <w:tcPr>
            <w:tcW w:w="7640" w:type="dxa"/>
            <w:tcBorders>
              <w:top w:val="nil"/>
              <w:left w:val="nil"/>
              <w:bottom w:val="nil"/>
              <w:right w:val="nil"/>
            </w:tcBorders>
            <w:shd w:val="clear" w:color="auto" w:fill="auto"/>
            <w:vAlign w:val="bottom"/>
          </w:tcPr>
          <w:p w14:paraId="17EFCB68" w14:textId="77777777" w:rsidR="00595931" w:rsidRDefault="002B2995">
            <w:pPr>
              <w:spacing w:after="0" w:line="240" w:lineRule="auto"/>
              <w:rPr>
                <w:color w:val="4472C4"/>
              </w:rPr>
            </w:pPr>
            <w:hyperlink r:id="rId29">
              <w:r>
                <w:rPr>
                  <w:color w:val="4472C4"/>
                  <w:u w:val="single"/>
                </w:rPr>
                <w:t>https://investmentpolicyhub.unctad.org/ISDS/Details/721</w:t>
              </w:r>
            </w:hyperlink>
            <w:r>
              <w:rPr>
                <w:color w:val="4472C4"/>
              </w:rPr>
              <w:t xml:space="preserve"> </w:t>
            </w:r>
          </w:p>
        </w:tc>
      </w:tr>
      <w:tr w:rsidR="00595931" w14:paraId="2D99FAB3" w14:textId="77777777">
        <w:trPr>
          <w:trHeight w:val="280"/>
        </w:trPr>
        <w:tc>
          <w:tcPr>
            <w:tcW w:w="2790" w:type="dxa"/>
            <w:tcBorders>
              <w:top w:val="nil"/>
              <w:left w:val="nil"/>
              <w:bottom w:val="nil"/>
              <w:right w:val="nil"/>
            </w:tcBorders>
            <w:shd w:val="clear" w:color="auto" w:fill="auto"/>
            <w:vAlign w:val="bottom"/>
          </w:tcPr>
          <w:p w14:paraId="6FC6043E" w14:textId="77777777" w:rsidR="00595931" w:rsidRDefault="002B2995">
            <w:pPr>
              <w:spacing w:after="0" w:line="240" w:lineRule="auto"/>
            </w:pPr>
            <w:r>
              <w:t>Vedanta</w:t>
            </w:r>
          </w:p>
        </w:tc>
        <w:tc>
          <w:tcPr>
            <w:tcW w:w="7640" w:type="dxa"/>
            <w:tcBorders>
              <w:top w:val="nil"/>
              <w:left w:val="nil"/>
              <w:bottom w:val="nil"/>
              <w:right w:val="nil"/>
            </w:tcBorders>
            <w:shd w:val="clear" w:color="auto" w:fill="auto"/>
            <w:vAlign w:val="bottom"/>
          </w:tcPr>
          <w:p w14:paraId="1A9DAA46" w14:textId="77777777" w:rsidR="00595931" w:rsidRDefault="002B2995">
            <w:pPr>
              <w:spacing w:after="0" w:line="240" w:lineRule="auto"/>
              <w:rPr>
                <w:color w:val="4472C4"/>
              </w:rPr>
            </w:pPr>
            <w:hyperlink r:id="rId30">
              <w:r>
                <w:rPr>
                  <w:color w:val="4472C4"/>
                  <w:u w:val="single"/>
                </w:rPr>
                <w:t>https://investmentpolicyhub.unctad.org/ISDS/Details/733</w:t>
              </w:r>
            </w:hyperlink>
            <w:r>
              <w:rPr>
                <w:color w:val="4472C4"/>
              </w:rPr>
              <w:t xml:space="preserve"> </w:t>
            </w:r>
          </w:p>
        </w:tc>
      </w:tr>
      <w:tr w:rsidR="00595931" w14:paraId="6C2CCF37" w14:textId="77777777">
        <w:trPr>
          <w:trHeight w:val="280"/>
        </w:trPr>
        <w:tc>
          <w:tcPr>
            <w:tcW w:w="2790" w:type="dxa"/>
            <w:tcBorders>
              <w:top w:val="nil"/>
              <w:left w:val="nil"/>
              <w:bottom w:val="nil"/>
              <w:right w:val="nil"/>
            </w:tcBorders>
            <w:shd w:val="clear" w:color="auto" w:fill="auto"/>
            <w:vAlign w:val="bottom"/>
          </w:tcPr>
          <w:p w14:paraId="07337282" w14:textId="77777777" w:rsidR="00595931" w:rsidRDefault="002B2995">
            <w:pPr>
              <w:spacing w:after="0" w:line="240" w:lineRule="auto"/>
            </w:pPr>
            <w:r>
              <w:t>Arcelor Mittal</w:t>
            </w:r>
          </w:p>
        </w:tc>
        <w:tc>
          <w:tcPr>
            <w:tcW w:w="7640" w:type="dxa"/>
            <w:tcBorders>
              <w:top w:val="nil"/>
              <w:left w:val="nil"/>
              <w:bottom w:val="nil"/>
              <w:right w:val="nil"/>
            </w:tcBorders>
            <w:shd w:val="clear" w:color="auto" w:fill="auto"/>
            <w:vAlign w:val="bottom"/>
          </w:tcPr>
          <w:p w14:paraId="5BBC91A8" w14:textId="77777777" w:rsidR="00595931" w:rsidRDefault="002B2995">
            <w:pPr>
              <w:spacing w:after="0" w:line="240" w:lineRule="auto"/>
              <w:rPr>
                <w:color w:val="4472C4"/>
              </w:rPr>
            </w:pPr>
            <w:hyperlink r:id="rId31">
              <w:r>
                <w:rPr>
                  <w:color w:val="4472C4"/>
                  <w:u w:val="single"/>
                </w:rPr>
                <w:t>https://investmentpolicyhub.unctad.org/ISDS/Details/697</w:t>
              </w:r>
            </w:hyperlink>
            <w:r>
              <w:rPr>
                <w:color w:val="4472C4"/>
              </w:rPr>
              <w:t xml:space="preserve"> </w:t>
            </w:r>
          </w:p>
        </w:tc>
      </w:tr>
      <w:tr w:rsidR="00595931" w14:paraId="483130D6" w14:textId="77777777">
        <w:trPr>
          <w:trHeight w:val="280"/>
        </w:trPr>
        <w:tc>
          <w:tcPr>
            <w:tcW w:w="2790" w:type="dxa"/>
            <w:tcBorders>
              <w:top w:val="nil"/>
              <w:left w:val="nil"/>
              <w:bottom w:val="nil"/>
              <w:right w:val="nil"/>
            </w:tcBorders>
            <w:shd w:val="clear" w:color="auto" w:fill="auto"/>
            <w:vAlign w:val="bottom"/>
          </w:tcPr>
          <w:p w14:paraId="0E16747C" w14:textId="77777777" w:rsidR="00595931" w:rsidRDefault="002B2995">
            <w:pPr>
              <w:spacing w:after="0" w:line="240" w:lineRule="auto"/>
            </w:pPr>
            <w:r>
              <w:t>Greentech</w:t>
            </w:r>
          </w:p>
        </w:tc>
        <w:tc>
          <w:tcPr>
            <w:tcW w:w="7640" w:type="dxa"/>
            <w:tcBorders>
              <w:top w:val="nil"/>
              <w:left w:val="nil"/>
              <w:bottom w:val="nil"/>
              <w:right w:val="nil"/>
            </w:tcBorders>
            <w:shd w:val="clear" w:color="auto" w:fill="auto"/>
            <w:vAlign w:val="bottom"/>
          </w:tcPr>
          <w:p w14:paraId="0E7F6422" w14:textId="77777777" w:rsidR="00595931" w:rsidRDefault="002B2995">
            <w:pPr>
              <w:spacing w:after="0" w:line="240" w:lineRule="auto"/>
              <w:rPr>
                <w:color w:val="4472C4"/>
              </w:rPr>
            </w:pPr>
            <w:hyperlink r:id="rId32">
              <w:r>
                <w:rPr>
                  <w:color w:val="4472C4"/>
                  <w:u w:val="single"/>
                </w:rPr>
                <w:t>https://investmentpolicyhub.unctad.org/ISDS/Details/634</w:t>
              </w:r>
            </w:hyperlink>
            <w:r>
              <w:rPr>
                <w:color w:val="4472C4"/>
              </w:rPr>
              <w:t xml:space="preserve"> </w:t>
            </w:r>
          </w:p>
        </w:tc>
      </w:tr>
      <w:tr w:rsidR="00595931" w14:paraId="386798C5" w14:textId="77777777">
        <w:trPr>
          <w:trHeight w:val="280"/>
        </w:trPr>
        <w:tc>
          <w:tcPr>
            <w:tcW w:w="2790" w:type="dxa"/>
            <w:tcBorders>
              <w:top w:val="nil"/>
              <w:left w:val="nil"/>
              <w:bottom w:val="nil"/>
              <w:right w:val="nil"/>
            </w:tcBorders>
            <w:shd w:val="clear" w:color="auto" w:fill="auto"/>
            <w:vAlign w:val="bottom"/>
          </w:tcPr>
          <w:p w14:paraId="222B5C55" w14:textId="77777777" w:rsidR="00595931" w:rsidRDefault="002B2995">
            <w:pPr>
              <w:spacing w:after="0" w:line="240" w:lineRule="auto"/>
            </w:pPr>
            <w:r>
              <w:t>Mobil</w:t>
            </w:r>
          </w:p>
        </w:tc>
        <w:tc>
          <w:tcPr>
            <w:tcW w:w="7640" w:type="dxa"/>
            <w:tcBorders>
              <w:top w:val="nil"/>
              <w:left w:val="nil"/>
              <w:bottom w:val="nil"/>
              <w:right w:val="nil"/>
            </w:tcBorders>
            <w:shd w:val="clear" w:color="auto" w:fill="auto"/>
            <w:vAlign w:val="bottom"/>
          </w:tcPr>
          <w:p w14:paraId="7481F381" w14:textId="77777777" w:rsidR="00595931" w:rsidRDefault="002B2995">
            <w:pPr>
              <w:spacing w:after="0" w:line="240" w:lineRule="auto"/>
              <w:rPr>
                <w:color w:val="4472C4"/>
              </w:rPr>
            </w:pPr>
            <w:hyperlink r:id="rId33">
              <w:r>
                <w:rPr>
                  <w:color w:val="4472C4"/>
                  <w:u w:val="single"/>
                </w:rPr>
                <w:t>https://investmentpolicyhub.unctad.org/ISDS/Details/643</w:t>
              </w:r>
            </w:hyperlink>
            <w:r>
              <w:rPr>
                <w:color w:val="4472C4"/>
              </w:rPr>
              <w:t xml:space="preserve"> </w:t>
            </w:r>
          </w:p>
        </w:tc>
      </w:tr>
      <w:tr w:rsidR="00595931" w14:paraId="2D4C310D" w14:textId="77777777">
        <w:trPr>
          <w:trHeight w:val="280"/>
        </w:trPr>
        <w:tc>
          <w:tcPr>
            <w:tcW w:w="2790" w:type="dxa"/>
            <w:tcBorders>
              <w:top w:val="nil"/>
              <w:left w:val="nil"/>
              <w:bottom w:val="nil"/>
              <w:right w:val="nil"/>
            </w:tcBorders>
            <w:shd w:val="clear" w:color="auto" w:fill="auto"/>
            <w:vAlign w:val="bottom"/>
          </w:tcPr>
          <w:p w14:paraId="795C8F9C" w14:textId="77777777" w:rsidR="00595931" w:rsidRDefault="002B2995">
            <w:pPr>
              <w:spacing w:after="0" w:line="240" w:lineRule="auto"/>
            </w:pPr>
            <w:r>
              <w:t>Total</w:t>
            </w:r>
          </w:p>
        </w:tc>
        <w:tc>
          <w:tcPr>
            <w:tcW w:w="7640" w:type="dxa"/>
            <w:tcBorders>
              <w:top w:val="nil"/>
              <w:left w:val="nil"/>
              <w:bottom w:val="nil"/>
              <w:right w:val="nil"/>
            </w:tcBorders>
            <w:shd w:val="clear" w:color="auto" w:fill="auto"/>
            <w:vAlign w:val="bottom"/>
          </w:tcPr>
          <w:p w14:paraId="6EFE4FE7" w14:textId="77777777" w:rsidR="00595931" w:rsidRDefault="002B2995">
            <w:pPr>
              <w:spacing w:after="0" w:line="240" w:lineRule="auto"/>
              <w:rPr>
                <w:color w:val="4472C4"/>
              </w:rPr>
            </w:pPr>
            <w:hyperlink r:id="rId34">
              <w:r>
                <w:rPr>
                  <w:color w:val="4472C4"/>
                  <w:u w:val="single"/>
                </w:rPr>
                <w:t>https://investmentpolicyhub.unctad.org/ISDS/Details/657</w:t>
              </w:r>
            </w:hyperlink>
            <w:r>
              <w:rPr>
                <w:color w:val="4472C4"/>
              </w:rPr>
              <w:t xml:space="preserve"> </w:t>
            </w:r>
          </w:p>
        </w:tc>
      </w:tr>
      <w:tr w:rsidR="00595931" w14:paraId="13485C51" w14:textId="77777777">
        <w:trPr>
          <w:trHeight w:val="280"/>
        </w:trPr>
        <w:tc>
          <w:tcPr>
            <w:tcW w:w="2790" w:type="dxa"/>
            <w:tcBorders>
              <w:top w:val="nil"/>
              <w:left w:val="nil"/>
              <w:bottom w:val="nil"/>
              <w:right w:val="nil"/>
            </w:tcBorders>
            <w:shd w:val="clear" w:color="auto" w:fill="auto"/>
            <w:vAlign w:val="bottom"/>
          </w:tcPr>
          <w:p w14:paraId="5F029B5C" w14:textId="77777777" w:rsidR="00595931" w:rsidRDefault="002B2995">
            <w:pPr>
              <w:spacing w:after="0" w:line="240" w:lineRule="auto"/>
            </w:pPr>
            <w:r>
              <w:t>Anglo American</w:t>
            </w:r>
          </w:p>
        </w:tc>
        <w:tc>
          <w:tcPr>
            <w:tcW w:w="7640" w:type="dxa"/>
            <w:tcBorders>
              <w:top w:val="nil"/>
              <w:left w:val="nil"/>
              <w:bottom w:val="nil"/>
              <w:right w:val="nil"/>
            </w:tcBorders>
            <w:shd w:val="clear" w:color="auto" w:fill="auto"/>
            <w:vAlign w:val="bottom"/>
          </w:tcPr>
          <w:p w14:paraId="020EF7E2" w14:textId="77777777" w:rsidR="00595931" w:rsidRDefault="002B2995">
            <w:pPr>
              <w:spacing w:after="0" w:line="240" w:lineRule="auto"/>
              <w:rPr>
                <w:color w:val="4472C4"/>
              </w:rPr>
            </w:pPr>
            <w:hyperlink r:id="rId35">
              <w:r>
                <w:rPr>
                  <w:color w:val="4472C4"/>
                  <w:u w:val="single"/>
                </w:rPr>
                <w:t>https://investmentpolicyhub.unctad.org/ISDS/Details/605</w:t>
              </w:r>
            </w:hyperlink>
            <w:r>
              <w:rPr>
                <w:color w:val="4472C4"/>
              </w:rPr>
              <w:t xml:space="preserve"> </w:t>
            </w:r>
          </w:p>
        </w:tc>
      </w:tr>
      <w:tr w:rsidR="00595931" w14:paraId="78729D5E" w14:textId="77777777">
        <w:trPr>
          <w:trHeight w:val="280"/>
        </w:trPr>
        <w:tc>
          <w:tcPr>
            <w:tcW w:w="2790" w:type="dxa"/>
            <w:tcBorders>
              <w:top w:val="nil"/>
              <w:left w:val="nil"/>
              <w:bottom w:val="nil"/>
              <w:right w:val="nil"/>
            </w:tcBorders>
            <w:shd w:val="clear" w:color="auto" w:fill="auto"/>
            <w:vAlign w:val="bottom"/>
          </w:tcPr>
          <w:p w14:paraId="5A0A4048" w14:textId="77777777" w:rsidR="00595931" w:rsidRDefault="002B2995">
            <w:pPr>
              <w:spacing w:after="0" w:line="240" w:lineRule="auto"/>
            </w:pPr>
            <w:r>
              <w:t>RWE</w:t>
            </w:r>
          </w:p>
        </w:tc>
        <w:tc>
          <w:tcPr>
            <w:tcW w:w="7640" w:type="dxa"/>
            <w:tcBorders>
              <w:top w:val="nil"/>
              <w:left w:val="nil"/>
              <w:bottom w:val="nil"/>
              <w:right w:val="nil"/>
            </w:tcBorders>
            <w:shd w:val="clear" w:color="auto" w:fill="auto"/>
            <w:vAlign w:val="bottom"/>
          </w:tcPr>
          <w:p w14:paraId="5650E51E" w14:textId="77777777" w:rsidR="00595931" w:rsidRDefault="002B2995">
            <w:pPr>
              <w:spacing w:after="0" w:line="240" w:lineRule="auto"/>
              <w:rPr>
                <w:color w:val="4472C4"/>
              </w:rPr>
            </w:pPr>
            <w:hyperlink r:id="rId36">
              <w:r>
                <w:rPr>
                  <w:color w:val="4472C4"/>
                  <w:u w:val="single"/>
                </w:rPr>
                <w:t>https://investmentpolicyhub.unctad.org/ISDS/Details/586</w:t>
              </w:r>
            </w:hyperlink>
            <w:r>
              <w:rPr>
                <w:color w:val="4472C4"/>
              </w:rPr>
              <w:t xml:space="preserve"> </w:t>
            </w:r>
          </w:p>
        </w:tc>
      </w:tr>
      <w:tr w:rsidR="00595931" w14:paraId="6EE6A96A" w14:textId="77777777">
        <w:trPr>
          <w:trHeight w:val="280"/>
        </w:trPr>
        <w:tc>
          <w:tcPr>
            <w:tcW w:w="2790" w:type="dxa"/>
            <w:tcBorders>
              <w:top w:val="nil"/>
              <w:left w:val="nil"/>
              <w:bottom w:val="nil"/>
              <w:right w:val="nil"/>
            </w:tcBorders>
            <w:shd w:val="clear" w:color="auto" w:fill="auto"/>
            <w:vAlign w:val="bottom"/>
          </w:tcPr>
          <w:p w14:paraId="600C0772" w14:textId="77777777" w:rsidR="00595931" w:rsidRDefault="002B2995">
            <w:pPr>
              <w:spacing w:after="0" w:line="240" w:lineRule="auto"/>
            </w:pPr>
            <w:r>
              <w:t>Alghanim</w:t>
            </w:r>
          </w:p>
        </w:tc>
        <w:tc>
          <w:tcPr>
            <w:tcW w:w="7640" w:type="dxa"/>
            <w:tcBorders>
              <w:top w:val="nil"/>
              <w:left w:val="nil"/>
              <w:bottom w:val="nil"/>
              <w:right w:val="nil"/>
            </w:tcBorders>
            <w:shd w:val="clear" w:color="auto" w:fill="auto"/>
            <w:vAlign w:val="bottom"/>
          </w:tcPr>
          <w:p w14:paraId="48869A9F" w14:textId="77777777" w:rsidR="00595931" w:rsidRDefault="002B2995">
            <w:pPr>
              <w:spacing w:after="0" w:line="240" w:lineRule="auto"/>
              <w:rPr>
                <w:color w:val="4472C4"/>
              </w:rPr>
            </w:pPr>
            <w:hyperlink r:id="rId37">
              <w:r>
                <w:rPr>
                  <w:color w:val="4472C4"/>
                  <w:u w:val="single"/>
                </w:rPr>
                <w:t>https://investmentpolicyhub.unctad.org/ISDS/Details/527</w:t>
              </w:r>
            </w:hyperlink>
            <w:r>
              <w:rPr>
                <w:color w:val="4472C4"/>
              </w:rPr>
              <w:t xml:space="preserve"> </w:t>
            </w:r>
          </w:p>
        </w:tc>
      </w:tr>
      <w:tr w:rsidR="00595931" w14:paraId="215C940B" w14:textId="77777777">
        <w:trPr>
          <w:trHeight w:val="280"/>
        </w:trPr>
        <w:tc>
          <w:tcPr>
            <w:tcW w:w="2790" w:type="dxa"/>
            <w:tcBorders>
              <w:top w:val="nil"/>
              <w:left w:val="nil"/>
              <w:bottom w:val="nil"/>
              <w:right w:val="nil"/>
            </w:tcBorders>
            <w:shd w:val="clear" w:color="auto" w:fill="auto"/>
            <w:vAlign w:val="bottom"/>
          </w:tcPr>
          <w:p w14:paraId="21FE37AD" w14:textId="77777777" w:rsidR="00595931" w:rsidRDefault="002B2995">
            <w:pPr>
              <w:spacing w:after="0" w:line="240" w:lineRule="auto"/>
            </w:pPr>
            <w:r>
              <w:t>Repsol</w:t>
            </w:r>
          </w:p>
        </w:tc>
        <w:tc>
          <w:tcPr>
            <w:tcW w:w="7640" w:type="dxa"/>
            <w:tcBorders>
              <w:top w:val="nil"/>
              <w:left w:val="nil"/>
              <w:bottom w:val="nil"/>
              <w:right w:val="nil"/>
            </w:tcBorders>
            <w:shd w:val="clear" w:color="auto" w:fill="auto"/>
            <w:vAlign w:val="bottom"/>
          </w:tcPr>
          <w:p w14:paraId="30AABE8A" w14:textId="77777777" w:rsidR="00595931" w:rsidRDefault="002B2995">
            <w:pPr>
              <w:spacing w:after="0" w:line="240" w:lineRule="auto"/>
              <w:rPr>
                <w:color w:val="4472C4"/>
              </w:rPr>
            </w:pPr>
            <w:hyperlink r:id="rId38">
              <w:r>
                <w:rPr>
                  <w:color w:val="4472C4"/>
                  <w:u w:val="single"/>
                </w:rPr>
                <w:t>https://investmentpolicyhub.unctad.org/ISDS/Details/490</w:t>
              </w:r>
            </w:hyperlink>
            <w:r>
              <w:rPr>
                <w:color w:val="4472C4"/>
              </w:rPr>
              <w:t xml:space="preserve"> </w:t>
            </w:r>
          </w:p>
        </w:tc>
      </w:tr>
      <w:tr w:rsidR="00595931" w14:paraId="0746EA0B" w14:textId="77777777">
        <w:trPr>
          <w:trHeight w:val="280"/>
        </w:trPr>
        <w:tc>
          <w:tcPr>
            <w:tcW w:w="2790" w:type="dxa"/>
            <w:tcBorders>
              <w:top w:val="nil"/>
              <w:left w:val="nil"/>
              <w:bottom w:val="nil"/>
              <w:right w:val="nil"/>
            </w:tcBorders>
            <w:shd w:val="clear" w:color="auto" w:fill="auto"/>
            <w:vAlign w:val="bottom"/>
          </w:tcPr>
          <w:p w14:paraId="77A830A7" w14:textId="77777777" w:rsidR="00595931" w:rsidRDefault="002B2995">
            <w:pPr>
              <w:spacing w:after="0" w:line="240" w:lineRule="auto"/>
            </w:pPr>
            <w:r>
              <w:t>Vatenfall</w:t>
            </w:r>
          </w:p>
        </w:tc>
        <w:tc>
          <w:tcPr>
            <w:tcW w:w="7640" w:type="dxa"/>
            <w:tcBorders>
              <w:top w:val="nil"/>
              <w:left w:val="nil"/>
              <w:bottom w:val="nil"/>
              <w:right w:val="nil"/>
            </w:tcBorders>
            <w:shd w:val="clear" w:color="auto" w:fill="auto"/>
            <w:vAlign w:val="bottom"/>
          </w:tcPr>
          <w:p w14:paraId="0A5F5B86" w14:textId="77777777" w:rsidR="00595931" w:rsidRDefault="002B2995">
            <w:pPr>
              <w:spacing w:after="0" w:line="240" w:lineRule="auto"/>
              <w:rPr>
                <w:color w:val="4472C4"/>
                <w:u w:val="single"/>
              </w:rPr>
            </w:pPr>
            <w:hyperlink r:id="rId39">
              <w:r>
                <w:rPr>
                  <w:color w:val="4472C4"/>
                  <w:u w:val="single"/>
                </w:rPr>
                <w:t>https://investmentpolicyhub.unctad.org/ISDS/Details/467</w:t>
              </w:r>
            </w:hyperlink>
            <w:r>
              <w:rPr>
                <w:color w:val="4472C4"/>
                <w:u w:val="single"/>
              </w:rPr>
              <w:t xml:space="preserve"> </w:t>
            </w:r>
          </w:p>
        </w:tc>
      </w:tr>
      <w:tr w:rsidR="00595931" w14:paraId="47BDA27A" w14:textId="77777777">
        <w:trPr>
          <w:trHeight w:val="280"/>
        </w:trPr>
        <w:tc>
          <w:tcPr>
            <w:tcW w:w="2790" w:type="dxa"/>
            <w:tcBorders>
              <w:top w:val="nil"/>
              <w:left w:val="nil"/>
              <w:bottom w:val="nil"/>
              <w:right w:val="nil"/>
            </w:tcBorders>
            <w:shd w:val="clear" w:color="auto" w:fill="auto"/>
            <w:vAlign w:val="bottom"/>
          </w:tcPr>
          <w:p w14:paraId="468D4A9D" w14:textId="77777777" w:rsidR="00595931" w:rsidRDefault="002B2995">
            <w:pPr>
              <w:spacing w:after="0" w:line="240" w:lineRule="auto"/>
            </w:pPr>
            <w:r>
              <w:t>Agility</w:t>
            </w:r>
          </w:p>
        </w:tc>
        <w:tc>
          <w:tcPr>
            <w:tcW w:w="7640" w:type="dxa"/>
            <w:tcBorders>
              <w:top w:val="nil"/>
              <w:left w:val="nil"/>
              <w:bottom w:val="nil"/>
              <w:right w:val="nil"/>
            </w:tcBorders>
            <w:shd w:val="clear" w:color="auto" w:fill="auto"/>
            <w:vAlign w:val="bottom"/>
          </w:tcPr>
          <w:p w14:paraId="35743FBA" w14:textId="77777777" w:rsidR="00595931" w:rsidRDefault="002B2995">
            <w:pPr>
              <w:spacing w:after="0" w:line="240" w:lineRule="auto"/>
              <w:rPr>
                <w:color w:val="4472C4"/>
              </w:rPr>
            </w:pPr>
            <w:hyperlink r:id="rId40">
              <w:r>
                <w:rPr>
                  <w:color w:val="4472C4"/>
                  <w:u w:val="single"/>
                </w:rPr>
                <w:t>https://investmentpolicyhub.unctad.org/ISDS/Details/422</w:t>
              </w:r>
            </w:hyperlink>
            <w:r>
              <w:rPr>
                <w:color w:val="4472C4"/>
              </w:rPr>
              <w:t xml:space="preserve"> </w:t>
            </w:r>
          </w:p>
        </w:tc>
      </w:tr>
      <w:tr w:rsidR="00595931" w14:paraId="40C3B213" w14:textId="77777777">
        <w:trPr>
          <w:trHeight w:val="280"/>
        </w:trPr>
        <w:tc>
          <w:tcPr>
            <w:tcW w:w="2790" w:type="dxa"/>
            <w:tcBorders>
              <w:top w:val="nil"/>
              <w:left w:val="nil"/>
              <w:bottom w:val="nil"/>
              <w:right w:val="nil"/>
            </w:tcBorders>
            <w:shd w:val="clear" w:color="auto" w:fill="auto"/>
            <w:vAlign w:val="bottom"/>
          </w:tcPr>
          <w:p w14:paraId="510F0F57" w14:textId="77777777" w:rsidR="00595931" w:rsidRDefault="002B2995">
            <w:pPr>
              <w:spacing w:after="0" w:line="240" w:lineRule="auto"/>
            </w:pPr>
            <w:r>
              <w:t>Indorama</w:t>
            </w:r>
          </w:p>
        </w:tc>
        <w:tc>
          <w:tcPr>
            <w:tcW w:w="7640" w:type="dxa"/>
            <w:tcBorders>
              <w:top w:val="nil"/>
              <w:left w:val="nil"/>
              <w:bottom w:val="nil"/>
              <w:right w:val="nil"/>
            </w:tcBorders>
            <w:shd w:val="clear" w:color="auto" w:fill="auto"/>
            <w:vAlign w:val="bottom"/>
          </w:tcPr>
          <w:p w14:paraId="49CC6175" w14:textId="77777777" w:rsidR="00595931" w:rsidRDefault="002B2995">
            <w:pPr>
              <w:spacing w:after="0" w:line="240" w:lineRule="auto"/>
              <w:rPr>
                <w:color w:val="4472C4"/>
              </w:rPr>
            </w:pPr>
            <w:hyperlink r:id="rId41">
              <w:r>
                <w:rPr>
                  <w:color w:val="4472C4"/>
                  <w:u w:val="single"/>
                </w:rPr>
                <w:t>https://investmentpolicyhub.unctad.org/IS</w:t>
              </w:r>
              <w:r>
                <w:rPr>
                  <w:color w:val="4472C4"/>
                  <w:u w:val="single"/>
                </w:rPr>
                <w:t>DS/Details/406</w:t>
              </w:r>
            </w:hyperlink>
            <w:r>
              <w:rPr>
                <w:color w:val="4472C4"/>
              </w:rPr>
              <w:t xml:space="preserve"> </w:t>
            </w:r>
          </w:p>
        </w:tc>
      </w:tr>
      <w:tr w:rsidR="00595931" w14:paraId="1C8A6B03" w14:textId="77777777">
        <w:trPr>
          <w:trHeight w:val="280"/>
        </w:trPr>
        <w:tc>
          <w:tcPr>
            <w:tcW w:w="2790" w:type="dxa"/>
            <w:tcBorders>
              <w:top w:val="nil"/>
              <w:left w:val="nil"/>
              <w:bottom w:val="nil"/>
              <w:right w:val="nil"/>
            </w:tcBorders>
            <w:shd w:val="clear" w:color="auto" w:fill="auto"/>
            <w:vAlign w:val="bottom"/>
          </w:tcPr>
          <w:p w14:paraId="2E93644F" w14:textId="77777777" w:rsidR="00595931" w:rsidRDefault="002B2995">
            <w:pPr>
              <w:spacing w:after="0" w:line="240" w:lineRule="auto"/>
            </w:pPr>
            <w:r>
              <w:t>Merck</w:t>
            </w:r>
          </w:p>
        </w:tc>
        <w:tc>
          <w:tcPr>
            <w:tcW w:w="7640" w:type="dxa"/>
            <w:tcBorders>
              <w:top w:val="nil"/>
              <w:left w:val="nil"/>
              <w:bottom w:val="nil"/>
              <w:right w:val="nil"/>
            </w:tcBorders>
            <w:shd w:val="clear" w:color="auto" w:fill="auto"/>
            <w:vAlign w:val="bottom"/>
          </w:tcPr>
          <w:p w14:paraId="677C09A2" w14:textId="77777777" w:rsidR="00595931" w:rsidRDefault="002B2995">
            <w:pPr>
              <w:spacing w:after="0" w:line="240" w:lineRule="auto"/>
              <w:rPr>
                <w:color w:val="4472C4"/>
              </w:rPr>
            </w:pPr>
            <w:hyperlink r:id="rId42">
              <w:r>
                <w:rPr>
                  <w:color w:val="4472C4"/>
                  <w:u w:val="single"/>
                </w:rPr>
                <w:t>https://investmentpolicyhub.unctad.org/ISDS/Details/437</w:t>
              </w:r>
            </w:hyperlink>
            <w:r>
              <w:rPr>
                <w:color w:val="4472C4"/>
              </w:rPr>
              <w:t xml:space="preserve"> </w:t>
            </w:r>
          </w:p>
        </w:tc>
      </w:tr>
      <w:tr w:rsidR="00595931" w14:paraId="0B60BE75" w14:textId="77777777">
        <w:trPr>
          <w:trHeight w:val="280"/>
        </w:trPr>
        <w:tc>
          <w:tcPr>
            <w:tcW w:w="2790" w:type="dxa"/>
            <w:tcBorders>
              <w:top w:val="nil"/>
              <w:left w:val="nil"/>
              <w:bottom w:val="nil"/>
              <w:right w:val="nil"/>
            </w:tcBorders>
            <w:shd w:val="clear" w:color="auto" w:fill="auto"/>
            <w:vAlign w:val="bottom"/>
          </w:tcPr>
          <w:p w14:paraId="05381FCB" w14:textId="77777777" w:rsidR="00595931" w:rsidRDefault="002B2995">
            <w:pPr>
              <w:spacing w:after="0" w:line="240" w:lineRule="auto"/>
            </w:pPr>
            <w:r>
              <w:t>Chevron</w:t>
            </w:r>
          </w:p>
        </w:tc>
        <w:tc>
          <w:tcPr>
            <w:tcW w:w="7640" w:type="dxa"/>
            <w:tcBorders>
              <w:top w:val="nil"/>
              <w:left w:val="nil"/>
              <w:bottom w:val="nil"/>
              <w:right w:val="nil"/>
            </w:tcBorders>
            <w:shd w:val="clear" w:color="auto" w:fill="auto"/>
            <w:vAlign w:val="bottom"/>
          </w:tcPr>
          <w:p w14:paraId="55287015" w14:textId="77777777" w:rsidR="00595931" w:rsidRDefault="002B2995">
            <w:pPr>
              <w:spacing w:after="0" w:line="240" w:lineRule="auto"/>
              <w:rPr>
                <w:color w:val="4472C4"/>
              </w:rPr>
            </w:pPr>
            <w:hyperlink r:id="rId43">
              <w:r>
                <w:rPr>
                  <w:color w:val="4472C4"/>
                  <w:u w:val="single"/>
                </w:rPr>
                <w:t>https://investmentpolicyhub.unctad.org/ISDS/Details/341</w:t>
              </w:r>
            </w:hyperlink>
            <w:r>
              <w:rPr>
                <w:color w:val="4472C4"/>
              </w:rPr>
              <w:t xml:space="preserve"> </w:t>
            </w:r>
          </w:p>
        </w:tc>
      </w:tr>
      <w:tr w:rsidR="00595931" w14:paraId="6BAD117F" w14:textId="77777777">
        <w:trPr>
          <w:trHeight w:val="280"/>
        </w:trPr>
        <w:tc>
          <w:tcPr>
            <w:tcW w:w="2790" w:type="dxa"/>
            <w:tcBorders>
              <w:top w:val="nil"/>
              <w:left w:val="nil"/>
              <w:bottom w:val="nil"/>
              <w:right w:val="nil"/>
            </w:tcBorders>
            <w:shd w:val="clear" w:color="auto" w:fill="auto"/>
            <w:vAlign w:val="bottom"/>
          </w:tcPr>
          <w:p w14:paraId="19774667" w14:textId="77777777" w:rsidR="00595931" w:rsidRDefault="002B2995">
            <w:pPr>
              <w:spacing w:after="0" w:line="240" w:lineRule="auto"/>
            </w:pPr>
            <w:r>
              <w:t>Deutsche Bank</w:t>
            </w:r>
          </w:p>
        </w:tc>
        <w:tc>
          <w:tcPr>
            <w:tcW w:w="7640" w:type="dxa"/>
            <w:tcBorders>
              <w:top w:val="nil"/>
              <w:left w:val="nil"/>
              <w:bottom w:val="nil"/>
              <w:right w:val="nil"/>
            </w:tcBorders>
            <w:shd w:val="clear" w:color="auto" w:fill="auto"/>
            <w:vAlign w:val="bottom"/>
          </w:tcPr>
          <w:p w14:paraId="0FD4A43A" w14:textId="77777777" w:rsidR="00595931" w:rsidRDefault="002B2995">
            <w:pPr>
              <w:spacing w:after="0" w:line="240" w:lineRule="auto"/>
              <w:rPr>
                <w:color w:val="4472C4"/>
              </w:rPr>
            </w:pPr>
            <w:hyperlink r:id="rId44">
              <w:r>
                <w:rPr>
                  <w:color w:val="4472C4"/>
                  <w:u w:val="single"/>
                </w:rPr>
                <w:t>https://investmentpolicyhub.unctad.org/ISDS/Details/337</w:t>
              </w:r>
            </w:hyperlink>
            <w:r>
              <w:rPr>
                <w:color w:val="4472C4"/>
              </w:rPr>
              <w:t xml:space="preserve"> </w:t>
            </w:r>
          </w:p>
        </w:tc>
      </w:tr>
      <w:tr w:rsidR="00595931" w14:paraId="4866A9BA" w14:textId="77777777">
        <w:trPr>
          <w:trHeight w:val="280"/>
        </w:trPr>
        <w:tc>
          <w:tcPr>
            <w:tcW w:w="2790" w:type="dxa"/>
            <w:tcBorders>
              <w:top w:val="nil"/>
              <w:left w:val="nil"/>
              <w:bottom w:val="nil"/>
              <w:right w:val="nil"/>
            </w:tcBorders>
            <w:shd w:val="clear" w:color="auto" w:fill="auto"/>
            <w:vAlign w:val="bottom"/>
          </w:tcPr>
          <w:p w14:paraId="69851977" w14:textId="77777777" w:rsidR="00595931" w:rsidRDefault="002B2995">
            <w:pPr>
              <w:spacing w:after="0" w:line="240" w:lineRule="auto"/>
            </w:pPr>
            <w:r>
              <w:t>Dow</w:t>
            </w:r>
          </w:p>
        </w:tc>
        <w:tc>
          <w:tcPr>
            <w:tcW w:w="7640" w:type="dxa"/>
            <w:tcBorders>
              <w:top w:val="nil"/>
              <w:left w:val="nil"/>
              <w:bottom w:val="nil"/>
              <w:right w:val="nil"/>
            </w:tcBorders>
            <w:shd w:val="clear" w:color="auto" w:fill="auto"/>
            <w:vAlign w:val="bottom"/>
          </w:tcPr>
          <w:p w14:paraId="322ECC76" w14:textId="77777777" w:rsidR="00595931" w:rsidRDefault="002B2995">
            <w:pPr>
              <w:spacing w:after="0" w:line="240" w:lineRule="auto"/>
              <w:rPr>
                <w:color w:val="4472C4"/>
              </w:rPr>
            </w:pPr>
            <w:hyperlink r:id="rId45">
              <w:r>
                <w:rPr>
                  <w:color w:val="4472C4"/>
                  <w:u w:val="single"/>
                </w:rPr>
                <w:t>https://investmentpolicyhub.unctad.org/ISDS/Details/345</w:t>
              </w:r>
            </w:hyperlink>
            <w:r>
              <w:rPr>
                <w:color w:val="4472C4"/>
              </w:rPr>
              <w:t xml:space="preserve"> </w:t>
            </w:r>
          </w:p>
        </w:tc>
      </w:tr>
      <w:tr w:rsidR="00595931" w14:paraId="0B03D8B9" w14:textId="77777777">
        <w:trPr>
          <w:trHeight w:val="280"/>
        </w:trPr>
        <w:tc>
          <w:tcPr>
            <w:tcW w:w="2790" w:type="dxa"/>
            <w:tcBorders>
              <w:top w:val="nil"/>
              <w:left w:val="nil"/>
              <w:bottom w:val="nil"/>
              <w:right w:val="nil"/>
            </w:tcBorders>
            <w:shd w:val="clear" w:color="auto" w:fill="auto"/>
            <w:vAlign w:val="bottom"/>
          </w:tcPr>
          <w:p w14:paraId="258A1CC3" w14:textId="77777777" w:rsidR="00595931" w:rsidRDefault="002B2995">
            <w:pPr>
              <w:spacing w:after="0" w:line="240" w:lineRule="auto"/>
            </w:pPr>
            <w:r>
              <w:t>A.P. Møller-Maersk</w:t>
            </w:r>
          </w:p>
        </w:tc>
        <w:tc>
          <w:tcPr>
            <w:tcW w:w="7640" w:type="dxa"/>
            <w:tcBorders>
              <w:top w:val="nil"/>
              <w:left w:val="nil"/>
              <w:bottom w:val="nil"/>
              <w:right w:val="nil"/>
            </w:tcBorders>
            <w:shd w:val="clear" w:color="auto" w:fill="auto"/>
            <w:vAlign w:val="bottom"/>
          </w:tcPr>
          <w:p w14:paraId="3E7E36A9" w14:textId="77777777" w:rsidR="00595931" w:rsidRDefault="002B2995">
            <w:pPr>
              <w:spacing w:after="0" w:line="240" w:lineRule="auto"/>
              <w:rPr>
                <w:color w:val="4472C4"/>
              </w:rPr>
            </w:pPr>
            <w:hyperlink r:id="rId46">
              <w:r>
                <w:rPr>
                  <w:color w:val="4472C4"/>
                  <w:u w:val="single"/>
                </w:rPr>
                <w:t>https://investmentpolicyhub.unctad.org/ISDS/Details/336</w:t>
              </w:r>
            </w:hyperlink>
            <w:r>
              <w:rPr>
                <w:color w:val="4472C4"/>
              </w:rPr>
              <w:t xml:space="preserve"> </w:t>
            </w:r>
          </w:p>
        </w:tc>
      </w:tr>
      <w:tr w:rsidR="00595931" w14:paraId="28237846" w14:textId="77777777">
        <w:trPr>
          <w:trHeight w:val="280"/>
        </w:trPr>
        <w:tc>
          <w:tcPr>
            <w:tcW w:w="2790" w:type="dxa"/>
            <w:tcBorders>
              <w:top w:val="nil"/>
              <w:left w:val="nil"/>
              <w:bottom w:val="nil"/>
              <w:right w:val="nil"/>
            </w:tcBorders>
            <w:shd w:val="clear" w:color="auto" w:fill="auto"/>
            <w:vAlign w:val="bottom"/>
          </w:tcPr>
          <w:p w14:paraId="2D9DF731" w14:textId="77777777" w:rsidR="00595931" w:rsidRDefault="002B2995">
            <w:pPr>
              <w:spacing w:after="0" w:line="240" w:lineRule="auto"/>
            </w:pPr>
            <w:r>
              <w:t>Mercuria Energy</w:t>
            </w:r>
          </w:p>
        </w:tc>
        <w:tc>
          <w:tcPr>
            <w:tcW w:w="7640" w:type="dxa"/>
            <w:tcBorders>
              <w:top w:val="nil"/>
              <w:left w:val="nil"/>
              <w:bottom w:val="nil"/>
              <w:right w:val="nil"/>
            </w:tcBorders>
            <w:shd w:val="clear" w:color="auto" w:fill="auto"/>
            <w:vAlign w:val="bottom"/>
          </w:tcPr>
          <w:p w14:paraId="2020DF4E" w14:textId="77777777" w:rsidR="00595931" w:rsidRDefault="002B2995">
            <w:pPr>
              <w:spacing w:after="0" w:line="240" w:lineRule="auto"/>
              <w:rPr>
                <w:color w:val="4472C4"/>
              </w:rPr>
            </w:pPr>
            <w:hyperlink r:id="rId47">
              <w:r>
                <w:rPr>
                  <w:color w:val="4472C4"/>
                  <w:u w:val="single"/>
                </w:rPr>
                <w:t>https://investmentpolicyhub.unctad.org/ISDS/Details/322</w:t>
              </w:r>
            </w:hyperlink>
            <w:r>
              <w:rPr>
                <w:color w:val="4472C4"/>
              </w:rPr>
              <w:t xml:space="preserve"> </w:t>
            </w:r>
          </w:p>
        </w:tc>
      </w:tr>
      <w:tr w:rsidR="00595931" w14:paraId="4515BD0F" w14:textId="77777777">
        <w:trPr>
          <w:trHeight w:val="280"/>
        </w:trPr>
        <w:tc>
          <w:tcPr>
            <w:tcW w:w="2790" w:type="dxa"/>
            <w:tcBorders>
              <w:top w:val="nil"/>
              <w:left w:val="nil"/>
              <w:bottom w:val="nil"/>
              <w:right w:val="nil"/>
            </w:tcBorders>
            <w:shd w:val="clear" w:color="auto" w:fill="auto"/>
            <w:vAlign w:val="bottom"/>
          </w:tcPr>
          <w:p w14:paraId="73C9CD19" w14:textId="77777777" w:rsidR="00595931" w:rsidRDefault="002B2995">
            <w:pPr>
              <w:spacing w:after="0" w:line="240" w:lineRule="auto"/>
            </w:pPr>
            <w:r>
              <w:t>Turkcell</w:t>
            </w:r>
          </w:p>
        </w:tc>
        <w:tc>
          <w:tcPr>
            <w:tcW w:w="7640" w:type="dxa"/>
            <w:tcBorders>
              <w:top w:val="nil"/>
              <w:left w:val="nil"/>
              <w:bottom w:val="nil"/>
              <w:right w:val="nil"/>
            </w:tcBorders>
            <w:shd w:val="clear" w:color="auto" w:fill="auto"/>
            <w:vAlign w:val="bottom"/>
          </w:tcPr>
          <w:p w14:paraId="1FCE36B7" w14:textId="77777777" w:rsidR="00595931" w:rsidRDefault="002B2995">
            <w:pPr>
              <w:spacing w:after="0" w:line="240" w:lineRule="auto"/>
              <w:rPr>
                <w:color w:val="4472C4"/>
              </w:rPr>
            </w:pPr>
            <w:hyperlink r:id="rId48">
              <w:r>
                <w:rPr>
                  <w:color w:val="4472C4"/>
                  <w:u w:val="single"/>
                </w:rPr>
                <w:t>https://investmentpolicyhub.unctad.org/ISDS/Details/288</w:t>
              </w:r>
            </w:hyperlink>
            <w:r>
              <w:rPr>
                <w:color w:val="4472C4"/>
              </w:rPr>
              <w:t xml:space="preserve"> </w:t>
            </w:r>
          </w:p>
        </w:tc>
      </w:tr>
      <w:tr w:rsidR="00595931" w14:paraId="115C9708" w14:textId="77777777">
        <w:trPr>
          <w:trHeight w:val="280"/>
        </w:trPr>
        <w:tc>
          <w:tcPr>
            <w:tcW w:w="2790" w:type="dxa"/>
            <w:tcBorders>
              <w:top w:val="nil"/>
              <w:left w:val="nil"/>
              <w:bottom w:val="nil"/>
              <w:right w:val="nil"/>
            </w:tcBorders>
            <w:shd w:val="clear" w:color="auto" w:fill="auto"/>
            <w:vAlign w:val="bottom"/>
          </w:tcPr>
          <w:p w14:paraId="6E02B33A" w14:textId="77777777" w:rsidR="00595931" w:rsidRDefault="002B2995">
            <w:pPr>
              <w:spacing w:after="0" w:line="240" w:lineRule="auto"/>
            </w:pPr>
            <w:r>
              <w:t>Eni</w:t>
            </w:r>
          </w:p>
        </w:tc>
        <w:tc>
          <w:tcPr>
            <w:tcW w:w="7640" w:type="dxa"/>
            <w:tcBorders>
              <w:top w:val="nil"/>
              <w:left w:val="nil"/>
              <w:bottom w:val="nil"/>
              <w:right w:val="nil"/>
            </w:tcBorders>
            <w:shd w:val="clear" w:color="auto" w:fill="auto"/>
            <w:vAlign w:val="bottom"/>
          </w:tcPr>
          <w:p w14:paraId="78A29C8C" w14:textId="77777777" w:rsidR="00595931" w:rsidRDefault="002B2995">
            <w:pPr>
              <w:spacing w:after="0" w:line="240" w:lineRule="auto"/>
              <w:rPr>
                <w:color w:val="4472C4"/>
              </w:rPr>
            </w:pPr>
            <w:hyperlink r:id="rId49">
              <w:r>
                <w:rPr>
                  <w:color w:val="4472C4"/>
                  <w:u w:val="single"/>
                </w:rPr>
                <w:t>https://investmentpolicyhub.unctad.org/ISDS/Details/265</w:t>
              </w:r>
            </w:hyperlink>
            <w:r>
              <w:rPr>
                <w:color w:val="4472C4"/>
              </w:rPr>
              <w:t xml:space="preserve"> </w:t>
            </w:r>
          </w:p>
        </w:tc>
      </w:tr>
      <w:tr w:rsidR="00595931" w14:paraId="2E2C5D6A" w14:textId="77777777">
        <w:trPr>
          <w:trHeight w:val="280"/>
        </w:trPr>
        <w:tc>
          <w:tcPr>
            <w:tcW w:w="2790" w:type="dxa"/>
            <w:tcBorders>
              <w:top w:val="nil"/>
              <w:left w:val="nil"/>
              <w:bottom w:val="nil"/>
              <w:right w:val="nil"/>
            </w:tcBorders>
            <w:shd w:val="clear" w:color="auto" w:fill="auto"/>
            <w:vAlign w:val="bottom"/>
          </w:tcPr>
          <w:p w14:paraId="281ABE3D" w14:textId="77777777" w:rsidR="00595931" w:rsidRDefault="002B2995">
            <w:pPr>
              <w:spacing w:after="0" w:line="240" w:lineRule="auto"/>
            </w:pPr>
            <w:r>
              <w:t>Cargill</w:t>
            </w:r>
          </w:p>
        </w:tc>
        <w:tc>
          <w:tcPr>
            <w:tcW w:w="7640" w:type="dxa"/>
            <w:tcBorders>
              <w:top w:val="nil"/>
              <w:left w:val="nil"/>
              <w:bottom w:val="nil"/>
              <w:right w:val="nil"/>
            </w:tcBorders>
            <w:shd w:val="clear" w:color="auto" w:fill="auto"/>
            <w:vAlign w:val="bottom"/>
          </w:tcPr>
          <w:p w14:paraId="2500E3B5" w14:textId="77777777" w:rsidR="00595931" w:rsidRDefault="002B2995">
            <w:pPr>
              <w:spacing w:after="0" w:line="240" w:lineRule="auto"/>
              <w:rPr>
                <w:color w:val="4472C4"/>
              </w:rPr>
            </w:pPr>
            <w:hyperlink r:id="rId50">
              <w:r>
                <w:rPr>
                  <w:color w:val="4472C4"/>
                  <w:u w:val="single"/>
                </w:rPr>
                <w:t>https://investmentpolicyhub.unctad.org/ISDS/Details/204</w:t>
              </w:r>
            </w:hyperlink>
            <w:r>
              <w:rPr>
                <w:color w:val="4472C4"/>
              </w:rPr>
              <w:t xml:space="preserve"> </w:t>
            </w:r>
          </w:p>
        </w:tc>
      </w:tr>
      <w:tr w:rsidR="00595931" w14:paraId="15F9FABD" w14:textId="77777777">
        <w:trPr>
          <w:trHeight w:val="280"/>
        </w:trPr>
        <w:tc>
          <w:tcPr>
            <w:tcW w:w="2790" w:type="dxa"/>
            <w:tcBorders>
              <w:top w:val="nil"/>
              <w:left w:val="nil"/>
              <w:bottom w:val="nil"/>
              <w:right w:val="nil"/>
            </w:tcBorders>
            <w:shd w:val="clear" w:color="auto" w:fill="auto"/>
            <w:vAlign w:val="bottom"/>
          </w:tcPr>
          <w:p w14:paraId="770869FF" w14:textId="77777777" w:rsidR="00595931" w:rsidRDefault="002B2995">
            <w:pPr>
              <w:spacing w:after="0" w:line="240" w:lineRule="auto"/>
            </w:pPr>
            <w:r>
              <w:t>ArcelorMittal</w:t>
            </w:r>
          </w:p>
        </w:tc>
        <w:tc>
          <w:tcPr>
            <w:tcW w:w="7640" w:type="dxa"/>
            <w:tcBorders>
              <w:top w:val="nil"/>
              <w:left w:val="nil"/>
              <w:bottom w:val="nil"/>
              <w:right w:val="nil"/>
            </w:tcBorders>
            <w:shd w:val="clear" w:color="auto" w:fill="auto"/>
            <w:vAlign w:val="bottom"/>
          </w:tcPr>
          <w:p w14:paraId="18D74836" w14:textId="77777777" w:rsidR="00595931" w:rsidRDefault="002B2995">
            <w:pPr>
              <w:spacing w:after="0" w:line="240" w:lineRule="auto"/>
              <w:rPr>
                <w:color w:val="4472C4"/>
              </w:rPr>
            </w:pPr>
            <w:hyperlink r:id="rId51">
              <w:r>
                <w:rPr>
                  <w:color w:val="4472C4"/>
                  <w:u w:val="single"/>
                </w:rPr>
                <w:t>https://investmentpolicyhub.unctad.o</w:t>
              </w:r>
              <w:r>
                <w:rPr>
                  <w:color w:val="4472C4"/>
                  <w:u w:val="single"/>
                </w:rPr>
                <w:t>rg/ISDS/Details/197</w:t>
              </w:r>
            </w:hyperlink>
            <w:r>
              <w:rPr>
                <w:color w:val="4472C4"/>
              </w:rPr>
              <w:t xml:space="preserve"> </w:t>
            </w:r>
          </w:p>
        </w:tc>
      </w:tr>
      <w:tr w:rsidR="00595931" w14:paraId="5729AFC0" w14:textId="77777777">
        <w:trPr>
          <w:trHeight w:val="280"/>
        </w:trPr>
        <w:tc>
          <w:tcPr>
            <w:tcW w:w="2790" w:type="dxa"/>
            <w:tcBorders>
              <w:top w:val="nil"/>
              <w:left w:val="nil"/>
              <w:bottom w:val="nil"/>
              <w:right w:val="nil"/>
            </w:tcBorders>
            <w:shd w:val="clear" w:color="auto" w:fill="auto"/>
            <w:vAlign w:val="bottom"/>
          </w:tcPr>
          <w:p w14:paraId="3214E433" w14:textId="77777777" w:rsidR="00595931" w:rsidRDefault="002B2995">
            <w:pPr>
              <w:spacing w:after="0" w:line="240" w:lineRule="auto"/>
            </w:pPr>
            <w:r>
              <w:t>Saipem</w:t>
            </w:r>
          </w:p>
        </w:tc>
        <w:tc>
          <w:tcPr>
            <w:tcW w:w="7640" w:type="dxa"/>
            <w:tcBorders>
              <w:top w:val="nil"/>
              <w:left w:val="nil"/>
              <w:bottom w:val="nil"/>
              <w:right w:val="nil"/>
            </w:tcBorders>
            <w:shd w:val="clear" w:color="auto" w:fill="auto"/>
            <w:vAlign w:val="bottom"/>
          </w:tcPr>
          <w:p w14:paraId="66835390" w14:textId="77777777" w:rsidR="00595931" w:rsidRDefault="002B2995">
            <w:pPr>
              <w:spacing w:after="0" w:line="240" w:lineRule="auto"/>
              <w:rPr>
                <w:color w:val="4472C4"/>
              </w:rPr>
            </w:pPr>
            <w:hyperlink r:id="rId52">
              <w:r>
                <w:rPr>
                  <w:color w:val="4472C4"/>
                  <w:u w:val="single"/>
                </w:rPr>
                <w:t>https://investmentpolicyhub.unctad.org/ISDS/Details/207</w:t>
              </w:r>
            </w:hyperlink>
            <w:r>
              <w:rPr>
                <w:color w:val="4472C4"/>
              </w:rPr>
              <w:t xml:space="preserve"> </w:t>
            </w:r>
          </w:p>
        </w:tc>
      </w:tr>
      <w:tr w:rsidR="00595931" w14:paraId="5C7BD558" w14:textId="77777777">
        <w:trPr>
          <w:trHeight w:val="280"/>
        </w:trPr>
        <w:tc>
          <w:tcPr>
            <w:tcW w:w="2790" w:type="dxa"/>
            <w:tcBorders>
              <w:top w:val="nil"/>
              <w:left w:val="nil"/>
              <w:bottom w:val="nil"/>
              <w:right w:val="nil"/>
            </w:tcBorders>
            <w:shd w:val="clear" w:color="auto" w:fill="auto"/>
            <w:vAlign w:val="bottom"/>
          </w:tcPr>
          <w:p w14:paraId="75483CED" w14:textId="77777777" w:rsidR="00595931" w:rsidRDefault="002B2995">
            <w:pPr>
              <w:spacing w:after="0" w:line="240" w:lineRule="auto"/>
            </w:pPr>
            <w:r>
              <w:t>ScotiaBank</w:t>
            </w:r>
          </w:p>
        </w:tc>
        <w:tc>
          <w:tcPr>
            <w:tcW w:w="7640" w:type="dxa"/>
            <w:tcBorders>
              <w:top w:val="nil"/>
              <w:left w:val="nil"/>
              <w:bottom w:val="nil"/>
              <w:right w:val="nil"/>
            </w:tcBorders>
            <w:shd w:val="clear" w:color="auto" w:fill="auto"/>
            <w:vAlign w:val="bottom"/>
          </w:tcPr>
          <w:p w14:paraId="6F564AAE" w14:textId="77777777" w:rsidR="00595931" w:rsidRDefault="002B2995">
            <w:pPr>
              <w:spacing w:after="0" w:line="240" w:lineRule="auto"/>
              <w:rPr>
                <w:color w:val="4472C4"/>
              </w:rPr>
            </w:pPr>
            <w:hyperlink r:id="rId53">
              <w:r>
                <w:rPr>
                  <w:color w:val="4472C4"/>
                  <w:u w:val="single"/>
                </w:rPr>
                <w:t>https://</w:t>
              </w:r>
              <w:r>
                <w:rPr>
                  <w:color w:val="4472C4"/>
                  <w:u w:val="single"/>
                </w:rPr>
                <w:t>investmentpolicyhub.unctad.org/ISDS/Details/209</w:t>
              </w:r>
            </w:hyperlink>
            <w:r>
              <w:rPr>
                <w:color w:val="4472C4"/>
              </w:rPr>
              <w:t xml:space="preserve"> </w:t>
            </w:r>
          </w:p>
        </w:tc>
      </w:tr>
      <w:tr w:rsidR="00595931" w14:paraId="256229C7" w14:textId="77777777">
        <w:trPr>
          <w:trHeight w:val="280"/>
        </w:trPr>
        <w:tc>
          <w:tcPr>
            <w:tcW w:w="2790" w:type="dxa"/>
            <w:tcBorders>
              <w:top w:val="nil"/>
              <w:left w:val="nil"/>
              <w:bottom w:val="nil"/>
              <w:right w:val="nil"/>
            </w:tcBorders>
            <w:shd w:val="clear" w:color="auto" w:fill="auto"/>
            <w:vAlign w:val="bottom"/>
          </w:tcPr>
          <w:p w14:paraId="15B46C9C" w14:textId="77777777" w:rsidR="00595931" w:rsidRDefault="002B2995">
            <w:pPr>
              <w:spacing w:after="0" w:line="240" w:lineRule="auto"/>
            </w:pPr>
            <w:r>
              <w:t>ABN Amro</w:t>
            </w:r>
          </w:p>
        </w:tc>
        <w:tc>
          <w:tcPr>
            <w:tcW w:w="7640" w:type="dxa"/>
            <w:tcBorders>
              <w:top w:val="nil"/>
              <w:left w:val="nil"/>
              <w:bottom w:val="nil"/>
              <w:right w:val="nil"/>
            </w:tcBorders>
            <w:shd w:val="clear" w:color="auto" w:fill="auto"/>
            <w:vAlign w:val="bottom"/>
          </w:tcPr>
          <w:p w14:paraId="45B755C4" w14:textId="77777777" w:rsidR="00595931" w:rsidRDefault="002B2995">
            <w:pPr>
              <w:spacing w:after="0" w:line="240" w:lineRule="auto"/>
              <w:rPr>
                <w:color w:val="4472C4"/>
              </w:rPr>
            </w:pPr>
            <w:hyperlink r:id="rId54">
              <w:r>
                <w:rPr>
                  <w:color w:val="4472C4"/>
                  <w:u w:val="single"/>
                </w:rPr>
                <w:t>https://investmentpolicyhub.unctad.org/ISDS/Details/149</w:t>
              </w:r>
            </w:hyperlink>
            <w:r>
              <w:rPr>
                <w:color w:val="4472C4"/>
              </w:rPr>
              <w:t xml:space="preserve"> </w:t>
            </w:r>
          </w:p>
        </w:tc>
      </w:tr>
      <w:tr w:rsidR="00595931" w14:paraId="651B2065" w14:textId="77777777">
        <w:trPr>
          <w:trHeight w:val="280"/>
        </w:trPr>
        <w:tc>
          <w:tcPr>
            <w:tcW w:w="2790" w:type="dxa"/>
            <w:tcBorders>
              <w:top w:val="nil"/>
              <w:left w:val="nil"/>
              <w:bottom w:val="nil"/>
              <w:right w:val="nil"/>
            </w:tcBorders>
            <w:shd w:val="clear" w:color="auto" w:fill="auto"/>
            <w:vAlign w:val="bottom"/>
          </w:tcPr>
          <w:p w14:paraId="41E98E82" w14:textId="77777777" w:rsidR="00595931" w:rsidRDefault="002B2995">
            <w:pPr>
              <w:spacing w:after="0" w:line="240" w:lineRule="auto"/>
            </w:pPr>
            <w:r>
              <w:t>Credit Suisse</w:t>
            </w:r>
          </w:p>
        </w:tc>
        <w:tc>
          <w:tcPr>
            <w:tcW w:w="7640" w:type="dxa"/>
            <w:tcBorders>
              <w:top w:val="nil"/>
              <w:left w:val="nil"/>
              <w:bottom w:val="nil"/>
              <w:right w:val="nil"/>
            </w:tcBorders>
            <w:shd w:val="clear" w:color="auto" w:fill="auto"/>
            <w:vAlign w:val="bottom"/>
          </w:tcPr>
          <w:p w14:paraId="380CFB8D" w14:textId="77777777" w:rsidR="00595931" w:rsidRDefault="002B2995">
            <w:pPr>
              <w:spacing w:after="0" w:line="240" w:lineRule="auto"/>
              <w:rPr>
                <w:color w:val="4472C4"/>
              </w:rPr>
            </w:pPr>
            <w:hyperlink r:id="rId55">
              <w:r>
                <w:rPr>
                  <w:color w:val="4472C4"/>
                  <w:u w:val="single"/>
                </w:rPr>
                <w:t>https://investmentpolicyhub.unctad.org/ISDS/Details/150</w:t>
              </w:r>
            </w:hyperlink>
            <w:r>
              <w:rPr>
                <w:color w:val="4472C4"/>
              </w:rPr>
              <w:t xml:space="preserve"> </w:t>
            </w:r>
          </w:p>
        </w:tc>
      </w:tr>
      <w:tr w:rsidR="00595931" w14:paraId="4A4D23C1" w14:textId="77777777">
        <w:trPr>
          <w:trHeight w:val="280"/>
        </w:trPr>
        <w:tc>
          <w:tcPr>
            <w:tcW w:w="2790" w:type="dxa"/>
            <w:tcBorders>
              <w:top w:val="nil"/>
              <w:left w:val="nil"/>
              <w:bottom w:val="nil"/>
              <w:right w:val="nil"/>
            </w:tcBorders>
            <w:shd w:val="clear" w:color="auto" w:fill="auto"/>
            <w:vAlign w:val="bottom"/>
          </w:tcPr>
          <w:p w14:paraId="5CB6AA2A" w14:textId="77777777" w:rsidR="00595931" w:rsidRDefault="002B2995">
            <w:pPr>
              <w:spacing w:after="0" w:line="240" w:lineRule="auto"/>
            </w:pPr>
            <w:r>
              <w:t>Standard Chartered</w:t>
            </w:r>
          </w:p>
        </w:tc>
        <w:tc>
          <w:tcPr>
            <w:tcW w:w="7640" w:type="dxa"/>
            <w:tcBorders>
              <w:top w:val="nil"/>
              <w:left w:val="nil"/>
              <w:bottom w:val="nil"/>
              <w:right w:val="nil"/>
            </w:tcBorders>
            <w:shd w:val="clear" w:color="auto" w:fill="auto"/>
            <w:vAlign w:val="bottom"/>
          </w:tcPr>
          <w:p w14:paraId="66AB078A" w14:textId="77777777" w:rsidR="00595931" w:rsidRDefault="002B2995">
            <w:pPr>
              <w:spacing w:after="0" w:line="240" w:lineRule="auto"/>
              <w:rPr>
                <w:color w:val="4472C4"/>
              </w:rPr>
            </w:pPr>
            <w:hyperlink r:id="rId56">
              <w:r>
                <w:rPr>
                  <w:color w:val="4472C4"/>
                  <w:u w:val="single"/>
                </w:rPr>
                <w:t>https://investmentpolicyhub.unctad.org/ISDS/Details/152</w:t>
              </w:r>
            </w:hyperlink>
            <w:r>
              <w:rPr>
                <w:color w:val="4472C4"/>
              </w:rPr>
              <w:t xml:space="preserve"> </w:t>
            </w:r>
          </w:p>
        </w:tc>
      </w:tr>
      <w:tr w:rsidR="00595931" w14:paraId="32824FE2" w14:textId="77777777">
        <w:trPr>
          <w:trHeight w:val="280"/>
        </w:trPr>
        <w:tc>
          <w:tcPr>
            <w:tcW w:w="2790" w:type="dxa"/>
            <w:tcBorders>
              <w:top w:val="nil"/>
              <w:left w:val="nil"/>
              <w:bottom w:val="nil"/>
              <w:right w:val="nil"/>
            </w:tcBorders>
            <w:shd w:val="clear" w:color="auto" w:fill="auto"/>
            <w:vAlign w:val="bottom"/>
          </w:tcPr>
          <w:p w14:paraId="0C618F2A" w14:textId="77777777" w:rsidR="00595931" w:rsidRDefault="002B2995">
            <w:pPr>
              <w:spacing w:after="0" w:line="240" w:lineRule="auto"/>
            </w:pPr>
            <w:r>
              <w:t>Telenor</w:t>
            </w:r>
          </w:p>
        </w:tc>
        <w:tc>
          <w:tcPr>
            <w:tcW w:w="7640" w:type="dxa"/>
            <w:tcBorders>
              <w:top w:val="nil"/>
              <w:left w:val="nil"/>
              <w:bottom w:val="nil"/>
              <w:right w:val="nil"/>
            </w:tcBorders>
            <w:shd w:val="clear" w:color="auto" w:fill="auto"/>
            <w:vAlign w:val="bottom"/>
          </w:tcPr>
          <w:p w14:paraId="15BDEEE4" w14:textId="77777777" w:rsidR="00595931" w:rsidRDefault="002B2995">
            <w:pPr>
              <w:spacing w:after="0" w:line="240" w:lineRule="auto"/>
              <w:rPr>
                <w:color w:val="4472C4"/>
                <w:u w:val="single"/>
              </w:rPr>
            </w:pPr>
            <w:hyperlink r:id="rId57">
              <w:r>
                <w:rPr>
                  <w:color w:val="4472C4"/>
                  <w:u w:val="single"/>
                </w:rPr>
                <w:t>https://investmentpolicyhub.unctad.org/ISDS/Details/158</w:t>
              </w:r>
            </w:hyperlink>
            <w:r>
              <w:rPr>
                <w:color w:val="4472C4"/>
                <w:u w:val="single"/>
              </w:rPr>
              <w:t xml:space="preserve"> </w:t>
            </w:r>
          </w:p>
        </w:tc>
      </w:tr>
      <w:tr w:rsidR="00595931" w14:paraId="0649552A" w14:textId="77777777">
        <w:trPr>
          <w:trHeight w:val="280"/>
        </w:trPr>
        <w:tc>
          <w:tcPr>
            <w:tcW w:w="2790" w:type="dxa"/>
            <w:tcBorders>
              <w:top w:val="nil"/>
              <w:left w:val="nil"/>
              <w:bottom w:val="nil"/>
              <w:right w:val="nil"/>
            </w:tcBorders>
            <w:shd w:val="clear" w:color="auto" w:fill="auto"/>
            <w:vAlign w:val="bottom"/>
          </w:tcPr>
          <w:p w14:paraId="4C3F6DA3" w14:textId="77777777" w:rsidR="00595931" w:rsidRDefault="002B2995">
            <w:pPr>
              <w:spacing w:after="0" w:line="240" w:lineRule="auto"/>
            </w:pPr>
            <w:r>
              <w:t>IBM</w:t>
            </w:r>
          </w:p>
        </w:tc>
        <w:tc>
          <w:tcPr>
            <w:tcW w:w="7640" w:type="dxa"/>
            <w:tcBorders>
              <w:top w:val="nil"/>
              <w:left w:val="nil"/>
              <w:bottom w:val="nil"/>
              <w:right w:val="nil"/>
            </w:tcBorders>
            <w:shd w:val="clear" w:color="auto" w:fill="auto"/>
            <w:vAlign w:val="bottom"/>
          </w:tcPr>
          <w:p w14:paraId="385DEC91" w14:textId="77777777" w:rsidR="00595931" w:rsidRDefault="002B2995">
            <w:pPr>
              <w:spacing w:after="0" w:line="240" w:lineRule="auto"/>
              <w:rPr>
                <w:color w:val="4472C4"/>
              </w:rPr>
            </w:pPr>
            <w:hyperlink r:id="rId58">
              <w:r>
                <w:rPr>
                  <w:color w:val="4472C4"/>
                  <w:u w:val="single"/>
                </w:rPr>
                <w:t>https://investmentpolicyhub.unctad.org/ISDS/Det</w:t>
              </w:r>
              <w:r>
                <w:rPr>
                  <w:color w:val="4472C4"/>
                  <w:u w:val="single"/>
                </w:rPr>
                <w:t>ails/94</w:t>
              </w:r>
            </w:hyperlink>
            <w:r>
              <w:rPr>
                <w:color w:val="4472C4"/>
              </w:rPr>
              <w:t xml:space="preserve"> </w:t>
            </w:r>
          </w:p>
        </w:tc>
      </w:tr>
      <w:tr w:rsidR="00595931" w14:paraId="15CA5AC1" w14:textId="77777777">
        <w:trPr>
          <w:trHeight w:val="280"/>
        </w:trPr>
        <w:tc>
          <w:tcPr>
            <w:tcW w:w="2790" w:type="dxa"/>
            <w:tcBorders>
              <w:top w:val="nil"/>
              <w:left w:val="nil"/>
              <w:bottom w:val="nil"/>
              <w:right w:val="nil"/>
            </w:tcBorders>
            <w:shd w:val="clear" w:color="auto" w:fill="auto"/>
            <w:vAlign w:val="bottom"/>
          </w:tcPr>
          <w:p w14:paraId="4654E19B" w14:textId="77777777" w:rsidR="00595931" w:rsidRDefault="002B2995">
            <w:pPr>
              <w:spacing w:after="0" w:line="240" w:lineRule="auto"/>
            </w:pPr>
            <w:r>
              <w:t>Occidental</w:t>
            </w:r>
          </w:p>
        </w:tc>
        <w:tc>
          <w:tcPr>
            <w:tcW w:w="7640" w:type="dxa"/>
            <w:tcBorders>
              <w:top w:val="nil"/>
              <w:left w:val="nil"/>
              <w:bottom w:val="nil"/>
              <w:right w:val="nil"/>
            </w:tcBorders>
            <w:shd w:val="clear" w:color="auto" w:fill="auto"/>
            <w:vAlign w:val="bottom"/>
          </w:tcPr>
          <w:p w14:paraId="415FDDBC" w14:textId="77777777" w:rsidR="00595931" w:rsidRDefault="002B2995">
            <w:pPr>
              <w:spacing w:after="0" w:line="240" w:lineRule="auto"/>
              <w:rPr>
                <w:color w:val="4472C4"/>
              </w:rPr>
            </w:pPr>
            <w:hyperlink r:id="rId59">
              <w:r>
                <w:rPr>
                  <w:color w:val="4472C4"/>
                  <w:u w:val="single"/>
                </w:rPr>
                <w:t>https://investmentpolicyhub.unctad.org/ISDS/Details/76</w:t>
              </w:r>
            </w:hyperlink>
            <w:r>
              <w:rPr>
                <w:color w:val="4472C4"/>
              </w:rPr>
              <w:t xml:space="preserve"> </w:t>
            </w:r>
          </w:p>
        </w:tc>
      </w:tr>
      <w:tr w:rsidR="00595931" w14:paraId="2E01AEB7" w14:textId="77777777">
        <w:trPr>
          <w:trHeight w:val="280"/>
        </w:trPr>
        <w:tc>
          <w:tcPr>
            <w:tcW w:w="2790" w:type="dxa"/>
            <w:tcBorders>
              <w:top w:val="nil"/>
              <w:left w:val="nil"/>
              <w:bottom w:val="nil"/>
              <w:right w:val="nil"/>
            </w:tcBorders>
            <w:shd w:val="clear" w:color="auto" w:fill="auto"/>
            <w:vAlign w:val="bottom"/>
          </w:tcPr>
          <w:p w14:paraId="0F084F58" w14:textId="77777777" w:rsidR="00595931" w:rsidRDefault="002B2995">
            <w:pPr>
              <w:spacing w:after="0" w:line="240" w:lineRule="auto"/>
            </w:pPr>
            <w:r>
              <w:t>Siemens</w:t>
            </w:r>
          </w:p>
        </w:tc>
        <w:tc>
          <w:tcPr>
            <w:tcW w:w="7640" w:type="dxa"/>
            <w:tcBorders>
              <w:top w:val="nil"/>
              <w:left w:val="nil"/>
              <w:bottom w:val="nil"/>
              <w:right w:val="nil"/>
            </w:tcBorders>
            <w:shd w:val="clear" w:color="auto" w:fill="auto"/>
            <w:vAlign w:val="bottom"/>
          </w:tcPr>
          <w:p w14:paraId="4CD8A368" w14:textId="77777777" w:rsidR="00595931" w:rsidRDefault="002B2995">
            <w:pPr>
              <w:spacing w:after="0" w:line="240" w:lineRule="auto"/>
              <w:rPr>
                <w:color w:val="4472C4"/>
              </w:rPr>
            </w:pPr>
            <w:hyperlink r:id="rId60">
              <w:r>
                <w:rPr>
                  <w:color w:val="4472C4"/>
                  <w:u w:val="single"/>
                </w:rPr>
                <w:t>https://investmentpoli</w:t>
              </w:r>
              <w:r>
                <w:rPr>
                  <w:color w:val="4472C4"/>
                  <w:u w:val="single"/>
                </w:rPr>
                <w:t>cyhub.unctad.org/ISDS/Details/77</w:t>
              </w:r>
            </w:hyperlink>
            <w:r>
              <w:rPr>
                <w:color w:val="4472C4"/>
              </w:rPr>
              <w:t xml:space="preserve"> </w:t>
            </w:r>
          </w:p>
        </w:tc>
      </w:tr>
      <w:tr w:rsidR="00595931" w14:paraId="33A08A9B" w14:textId="77777777">
        <w:trPr>
          <w:trHeight w:val="280"/>
        </w:trPr>
        <w:tc>
          <w:tcPr>
            <w:tcW w:w="2790" w:type="dxa"/>
            <w:tcBorders>
              <w:top w:val="nil"/>
              <w:left w:val="nil"/>
              <w:bottom w:val="nil"/>
              <w:right w:val="nil"/>
            </w:tcBorders>
            <w:shd w:val="clear" w:color="auto" w:fill="auto"/>
            <w:vAlign w:val="bottom"/>
          </w:tcPr>
          <w:p w14:paraId="11986578" w14:textId="77777777" w:rsidR="00595931" w:rsidRDefault="002B2995">
            <w:pPr>
              <w:spacing w:after="0" w:line="240" w:lineRule="auto"/>
            </w:pPr>
            <w:r>
              <w:t>AIG</w:t>
            </w:r>
          </w:p>
        </w:tc>
        <w:tc>
          <w:tcPr>
            <w:tcW w:w="7640" w:type="dxa"/>
            <w:tcBorders>
              <w:top w:val="nil"/>
              <w:left w:val="nil"/>
              <w:bottom w:val="nil"/>
              <w:right w:val="nil"/>
            </w:tcBorders>
            <w:shd w:val="clear" w:color="auto" w:fill="auto"/>
            <w:vAlign w:val="bottom"/>
          </w:tcPr>
          <w:p w14:paraId="1E796EE8" w14:textId="77777777" w:rsidR="00595931" w:rsidRDefault="002B2995">
            <w:pPr>
              <w:spacing w:after="0" w:line="240" w:lineRule="auto"/>
              <w:rPr>
                <w:color w:val="4472C4"/>
              </w:rPr>
            </w:pPr>
            <w:hyperlink r:id="rId61">
              <w:r>
                <w:rPr>
                  <w:color w:val="4472C4"/>
                  <w:u w:val="single"/>
                </w:rPr>
                <w:t>https://investmentpolicyhub.unctad.org/ISDS/Details/72</w:t>
              </w:r>
            </w:hyperlink>
            <w:r>
              <w:rPr>
                <w:color w:val="4472C4"/>
              </w:rPr>
              <w:t xml:space="preserve"> </w:t>
            </w:r>
          </w:p>
        </w:tc>
      </w:tr>
      <w:tr w:rsidR="00595931" w14:paraId="32B98E75" w14:textId="77777777">
        <w:trPr>
          <w:trHeight w:val="280"/>
        </w:trPr>
        <w:tc>
          <w:tcPr>
            <w:tcW w:w="2790" w:type="dxa"/>
            <w:tcBorders>
              <w:top w:val="nil"/>
              <w:left w:val="nil"/>
              <w:bottom w:val="nil"/>
              <w:right w:val="nil"/>
            </w:tcBorders>
            <w:shd w:val="clear" w:color="auto" w:fill="auto"/>
            <w:vAlign w:val="bottom"/>
          </w:tcPr>
          <w:p w14:paraId="30F22B5C" w14:textId="77777777" w:rsidR="00595931" w:rsidRDefault="002B2995">
            <w:pPr>
              <w:spacing w:after="0" w:line="240" w:lineRule="auto"/>
            </w:pPr>
            <w:r>
              <w:t>UPS</w:t>
            </w:r>
          </w:p>
        </w:tc>
        <w:tc>
          <w:tcPr>
            <w:tcW w:w="7640" w:type="dxa"/>
            <w:tcBorders>
              <w:top w:val="nil"/>
              <w:left w:val="nil"/>
              <w:bottom w:val="nil"/>
              <w:right w:val="nil"/>
            </w:tcBorders>
            <w:shd w:val="clear" w:color="auto" w:fill="auto"/>
            <w:vAlign w:val="bottom"/>
          </w:tcPr>
          <w:p w14:paraId="55763419" w14:textId="77777777" w:rsidR="00595931" w:rsidRDefault="002B2995">
            <w:pPr>
              <w:spacing w:after="0" w:line="240" w:lineRule="auto"/>
              <w:rPr>
                <w:color w:val="4472C4"/>
                <w:u w:val="single"/>
              </w:rPr>
            </w:pPr>
            <w:hyperlink r:id="rId62">
              <w:r>
                <w:rPr>
                  <w:color w:val="4472C4"/>
                  <w:u w:val="single"/>
                </w:rPr>
                <w:t>https://</w:t>
              </w:r>
              <w:r>
                <w:rPr>
                  <w:color w:val="4472C4"/>
                  <w:u w:val="single"/>
                </w:rPr>
                <w:t xml:space="preserve">investmentpolicyhub.unctad.org/ISDS/Details/51  </w:t>
              </w:r>
            </w:hyperlink>
          </w:p>
        </w:tc>
      </w:tr>
    </w:tbl>
    <w:p w14:paraId="139ADD26" w14:textId="77777777" w:rsidR="00595931" w:rsidRDefault="00595931"/>
    <w:sectPr w:rsidR="00595931">
      <w:pgSz w:w="11906" w:h="16838"/>
      <w:pgMar w:top="720" w:right="720" w:bottom="720" w:left="72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6565F"/>
    <w:multiLevelType w:val="multilevel"/>
    <w:tmpl w:val="A1C6A4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5931"/>
    <w:rsid w:val="002B2995"/>
    <w:rsid w:val="005959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8B1BB6"/>
  <w15:docId w15:val="{5AE8F728-CCF9-4794-B905-019E2907C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s-AR"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yperlink" Target="https://www.youtube.com/watch?v=iLA6kbER22U" TargetMode="External"/><Relationship Id="rId18" Type="http://schemas.openxmlformats.org/officeDocument/2006/relationships/hyperlink" Target="http://www.world-psi.org/en/psi-wants-binding-treaty-protect-human-rights-corporate-abuse" TargetMode="External"/><Relationship Id="rId26" Type="http://schemas.openxmlformats.org/officeDocument/2006/relationships/hyperlink" Target="https://investmentpolicyhub.unctad.org/ISDS/Details/820" TargetMode="External"/><Relationship Id="rId39" Type="http://schemas.openxmlformats.org/officeDocument/2006/relationships/hyperlink" Target="https://investmentpolicyhub.unctad.org/ISDS/Details/467" TargetMode="External"/><Relationship Id="rId21" Type="http://schemas.openxmlformats.org/officeDocument/2006/relationships/hyperlink" Target="https://investmentpolicyhub.unctad.org/ISDS/Details/793" TargetMode="External"/><Relationship Id="rId34" Type="http://schemas.openxmlformats.org/officeDocument/2006/relationships/hyperlink" Target="https://investmentpolicyhub.unctad.org/ISDS/Details/657" TargetMode="External"/><Relationship Id="rId42" Type="http://schemas.openxmlformats.org/officeDocument/2006/relationships/hyperlink" Target="https://investmentpolicyhub.unctad.org/ISDS/Details/437" TargetMode="External"/><Relationship Id="rId47" Type="http://schemas.openxmlformats.org/officeDocument/2006/relationships/hyperlink" Target="https://investmentpolicyhub.unctad.org/ISDS/Details/322" TargetMode="External"/><Relationship Id="rId50" Type="http://schemas.openxmlformats.org/officeDocument/2006/relationships/hyperlink" Target="https://investmentpolicyhub.unctad.org/ISDS/Details/204" TargetMode="External"/><Relationship Id="rId55" Type="http://schemas.openxmlformats.org/officeDocument/2006/relationships/hyperlink" Target="https://investmentpolicyhub.unctad.org/ISDS/Details/150" TargetMode="External"/><Relationship Id="rId63" Type="http://schemas.openxmlformats.org/officeDocument/2006/relationships/fontTable" Target="fontTable.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canadians.org/media/trade/2011/27-May-11.html" TargetMode="External"/><Relationship Id="rId29" Type="http://schemas.openxmlformats.org/officeDocument/2006/relationships/hyperlink" Target="https://investmentpolicyhub.unctad.org/ISDS/Details/721" TargetMode="External"/><Relationship Id="rId11" Type="http://schemas.openxmlformats.org/officeDocument/2006/relationships/hyperlink" Target="https://www.reuters.com/article/canada-mexico-cargill/nafta-award-to-cargill-against-mexico-stands-idUSL1E8G9HV420120510" TargetMode="External"/><Relationship Id="rId24" Type="http://schemas.openxmlformats.org/officeDocument/2006/relationships/hyperlink" Target="https://investmentpolicyhub.unctad.org/ISDS/Details/901" TargetMode="External"/><Relationship Id="rId32" Type="http://schemas.openxmlformats.org/officeDocument/2006/relationships/hyperlink" Target="https://investmentpolicyhub.unctad.org/ISDS/Details/634" TargetMode="External"/><Relationship Id="rId37" Type="http://schemas.openxmlformats.org/officeDocument/2006/relationships/hyperlink" Target="https://investmentpolicyhub.unctad.org/ISDS/Details/527" TargetMode="External"/><Relationship Id="rId40" Type="http://schemas.openxmlformats.org/officeDocument/2006/relationships/hyperlink" Target="https://investmentpolicyhub.unctad.org/ISDS/Details/422" TargetMode="External"/><Relationship Id="rId45" Type="http://schemas.openxmlformats.org/officeDocument/2006/relationships/hyperlink" Target="https://investmentpolicyhub.unctad.org/ISDS/Details/345" TargetMode="External"/><Relationship Id="rId53" Type="http://schemas.openxmlformats.org/officeDocument/2006/relationships/hyperlink" Target="https://investmentpolicyhub.unctad.org/ISDS/Details/209" TargetMode="External"/><Relationship Id="rId58" Type="http://schemas.openxmlformats.org/officeDocument/2006/relationships/hyperlink" Target="https://investmentpolicyhub.unctad.org/ISDS/Details/94" TargetMode="External"/><Relationship Id="rId5" Type="http://schemas.openxmlformats.org/officeDocument/2006/relationships/styles" Target="styles.xml"/><Relationship Id="rId61" Type="http://schemas.openxmlformats.org/officeDocument/2006/relationships/hyperlink" Target="https://investmentpolicyhub.unctad.org/ISDS/Details/72" TargetMode="External"/><Relationship Id="rId19" Type="http://schemas.openxmlformats.org/officeDocument/2006/relationships/hyperlink" Target="mailto:Grotefendt@forumue.de" TargetMode="External"/><Relationship Id="rId14" Type="http://schemas.openxmlformats.org/officeDocument/2006/relationships/hyperlink" Target="https://www.publiceye.ch/en/media-corner/press-releases/detail/compulsory-licensing-in-colombia-leaked-documents-show-aggressive-lobbying-by-novartis" TargetMode="External"/><Relationship Id="rId22" Type="http://schemas.openxmlformats.org/officeDocument/2006/relationships/hyperlink" Target="https://investmentpolicyhub.unctad.org/ISDS/Details/907" TargetMode="External"/><Relationship Id="rId27" Type="http://schemas.openxmlformats.org/officeDocument/2006/relationships/hyperlink" Target="https://investmentpolicyhub.unctad.org/ISDS/Details/712" TargetMode="External"/><Relationship Id="rId30" Type="http://schemas.openxmlformats.org/officeDocument/2006/relationships/hyperlink" Target="https://investmentpolicyhub.unctad.org/ISDS/Details/733" TargetMode="External"/><Relationship Id="rId35" Type="http://schemas.openxmlformats.org/officeDocument/2006/relationships/hyperlink" Target="https://investmentpolicyhub.unctad.org/ISDS/Details/605" TargetMode="External"/><Relationship Id="rId43" Type="http://schemas.openxmlformats.org/officeDocument/2006/relationships/hyperlink" Target="https://investmentpolicyhub.unctad.org/ISDS/Details/341" TargetMode="External"/><Relationship Id="rId48" Type="http://schemas.openxmlformats.org/officeDocument/2006/relationships/hyperlink" Target="https://investmentpolicyhub.unctad.org/ISDS/Details/288" TargetMode="External"/><Relationship Id="rId56" Type="http://schemas.openxmlformats.org/officeDocument/2006/relationships/hyperlink" Target="https://investmentpolicyhub.unctad.org/ISDS/Details/152" TargetMode="External"/><Relationship Id="rId64" Type="http://schemas.openxmlformats.org/officeDocument/2006/relationships/theme" Target="theme/theme1.xml"/><Relationship Id="rId8" Type="http://schemas.openxmlformats.org/officeDocument/2006/relationships/hyperlink" Target="https://stopisds.org/?password-protected=login&amp;redirect_to=https://stopisds.org/alliance/" TargetMode="External"/><Relationship Id="rId51" Type="http://schemas.openxmlformats.org/officeDocument/2006/relationships/hyperlink" Target="https://investmentpolicyhub.unctad.org/ISDS/Details/197" TargetMode="External"/><Relationship Id="rId3" Type="http://schemas.openxmlformats.org/officeDocument/2006/relationships/customXml" Target="../customXml/item3.xml"/><Relationship Id="rId12" Type="http://schemas.openxmlformats.org/officeDocument/2006/relationships/hyperlink" Target="https://www.youtube.com/watch?v=iLA6kbER22U" TargetMode="External"/><Relationship Id="rId17" Type="http://schemas.openxmlformats.org/officeDocument/2006/relationships/hyperlink" Target="http://www.world-psi.org/en/psi-wants-binding-treaty-protect-human-rights-corporate-abuse" TargetMode="External"/><Relationship Id="rId25" Type="http://schemas.openxmlformats.org/officeDocument/2006/relationships/hyperlink" Target="https://investmentpolicyhub.unctad.org/ISDS/Details/828" TargetMode="External"/><Relationship Id="rId33" Type="http://schemas.openxmlformats.org/officeDocument/2006/relationships/hyperlink" Target="https://investmentpolicyhub.unctad.org/ISDS/Details/643" TargetMode="External"/><Relationship Id="rId38" Type="http://schemas.openxmlformats.org/officeDocument/2006/relationships/hyperlink" Target="https://investmentpolicyhub.unctad.org/ISDS/Details/490" TargetMode="External"/><Relationship Id="rId46" Type="http://schemas.openxmlformats.org/officeDocument/2006/relationships/hyperlink" Target="https://investmentpolicyhub.unctad.org/ISDS/Details/336" TargetMode="External"/><Relationship Id="rId59" Type="http://schemas.openxmlformats.org/officeDocument/2006/relationships/hyperlink" Target="https://investmentpolicyhub.unctad.org/ISDS/Details/76" TargetMode="External"/><Relationship Id="rId20" Type="http://schemas.openxmlformats.org/officeDocument/2006/relationships/hyperlink" Target="mailto:alex@S2Bnetwork.org" TargetMode="External"/><Relationship Id="rId41" Type="http://schemas.openxmlformats.org/officeDocument/2006/relationships/hyperlink" Target="https://investmentpolicyhub.unctad.org/ISDS/Details/406" TargetMode="External"/><Relationship Id="rId54" Type="http://schemas.openxmlformats.org/officeDocument/2006/relationships/hyperlink" Target="https://investmentpolicyhub.unctad.org/ISDS/Details/149" TargetMode="External"/><Relationship Id="rId62" Type="http://schemas.openxmlformats.org/officeDocument/2006/relationships/hyperlink" Target="https://investmentpolicyhub.unctad.org/ISDS/Details/51" TargetMode="Externa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s://canadians.org/media/trade/2011/27-May-11.html" TargetMode="External"/><Relationship Id="rId23" Type="http://schemas.openxmlformats.org/officeDocument/2006/relationships/hyperlink" Target="https://investmentpolicyhub.unctad.org/ISDS/Details/807" TargetMode="External"/><Relationship Id="rId28" Type="http://schemas.openxmlformats.org/officeDocument/2006/relationships/hyperlink" Target="https://investmentpolicyhub.unctad.org/ISDS/Details/728" TargetMode="External"/><Relationship Id="rId36" Type="http://schemas.openxmlformats.org/officeDocument/2006/relationships/hyperlink" Target="https://investmentpolicyhub.unctad.org/ISDS/Details/586" TargetMode="External"/><Relationship Id="rId49" Type="http://schemas.openxmlformats.org/officeDocument/2006/relationships/hyperlink" Target="https://investmentpolicyhub.unctad.org/ISDS/Details/265" TargetMode="External"/><Relationship Id="rId57" Type="http://schemas.openxmlformats.org/officeDocument/2006/relationships/hyperlink" Target="https://investmentpolicyhub.unctad.org/ISDS/Details/158" TargetMode="External"/><Relationship Id="rId10" Type="http://schemas.openxmlformats.org/officeDocument/2006/relationships/hyperlink" Target="https://www.reuters.com/article/canada-mexico-cargill/nafta-award-to-cargill-against-mexico-stands-idUSL1E8G9HV420120510" TargetMode="External"/><Relationship Id="rId31" Type="http://schemas.openxmlformats.org/officeDocument/2006/relationships/hyperlink" Target="https://investmentpolicyhub.unctad.org/ISDS/Details/697" TargetMode="External"/><Relationship Id="rId44" Type="http://schemas.openxmlformats.org/officeDocument/2006/relationships/hyperlink" Target="https://investmentpolicyhub.unctad.org/ISDS/Details/337" TargetMode="External"/><Relationship Id="rId52" Type="http://schemas.openxmlformats.org/officeDocument/2006/relationships/hyperlink" Target="https://investmentpolicyhub.unctad.org/ISDS/Details/207" TargetMode="External"/><Relationship Id="rId60" Type="http://schemas.openxmlformats.org/officeDocument/2006/relationships/hyperlink" Target="https://investmentpolicyhub.unctad.org/ISDS/Details/77" TargetMode="External"/><Relationship Id="rId4" Type="http://schemas.openxmlformats.org/officeDocument/2006/relationships/numbering" Target="numbering.xml"/><Relationship Id="rId9" Type="http://schemas.openxmlformats.org/officeDocument/2006/relationships/hyperlink" Target="https://stopisds.org/?password-protected=login&amp;redirect_to=https://stopisds.org/allian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FD555B204A9341A8D22D756BDB1A4D" ma:contentTypeVersion="10" ma:contentTypeDescription="Create a new document." ma:contentTypeScope="" ma:versionID="ce7c92faa2000dfa83d642ce08be1f17">
  <xsd:schema xmlns:xsd="http://www.w3.org/2001/XMLSchema" xmlns:xs="http://www.w3.org/2001/XMLSchema" xmlns:p="http://schemas.microsoft.com/office/2006/metadata/properties" xmlns:ns2="8d6927f4-c973-4202-a55f-12d8001ea014" xmlns:ns3="e25f48ca-0323-4f04-8017-0e8f59a74e5d" targetNamespace="http://schemas.microsoft.com/office/2006/metadata/properties" ma:root="true" ma:fieldsID="1baa85ca88f5a50731c5f58ab30dbeb4" ns2:_="" ns3:_="">
    <xsd:import namespace="8d6927f4-c973-4202-a55f-12d8001ea014"/>
    <xsd:import namespace="e25f48ca-0323-4f04-8017-0e8f59a74e5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6927f4-c973-4202-a55f-12d8001ea0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25f48ca-0323-4f04-8017-0e8f59a74e5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CA56D70-5395-4200-8F3F-202B594D3A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6927f4-c973-4202-a55f-12d8001ea014"/>
    <ds:schemaRef ds:uri="e25f48ca-0323-4f04-8017-0e8f59a74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36D139C-F514-41E3-9299-58DED21F81B7}">
  <ds:schemaRefs>
    <ds:schemaRef ds:uri="http://schemas.microsoft.com/sharepoint/v3/contenttype/forms"/>
  </ds:schemaRefs>
</ds:datastoreItem>
</file>

<file path=customXml/itemProps3.xml><?xml version="1.0" encoding="utf-8"?>
<ds:datastoreItem xmlns:ds="http://schemas.openxmlformats.org/officeDocument/2006/customXml" ds:itemID="{AF3E414B-CCCB-475A-B31D-8BD63FEF5243}">
  <ds:schemaRefs>
    <ds:schemaRef ds:uri="http://schemas.microsoft.com/office/2006/documentManagement/types"/>
    <ds:schemaRef ds:uri="e25f48ca-0323-4f04-8017-0e8f59a74e5d"/>
    <ds:schemaRef ds:uri="http://schemas.microsoft.com/office/2006/metadata/properties"/>
    <ds:schemaRef ds:uri="http://purl.org/dc/dcmitype/"/>
    <ds:schemaRef ds:uri="http://purl.org/dc/terms/"/>
    <ds:schemaRef ds:uri="http://schemas.openxmlformats.org/package/2006/metadata/core-properties"/>
    <ds:schemaRef ds:uri="8d6927f4-c973-4202-a55f-12d8001ea014"/>
    <ds:schemaRef ds:uri="http://purl.org/dc/elements/1.1/"/>
    <ds:schemaRef ds:uri="http://schemas.microsoft.com/office/infopath/2007/PartnerControl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2971</Words>
  <Characters>16937</Characters>
  <Application>Microsoft Office Word</Application>
  <DocSecurity>4</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Marie-Paule Ogereau</dc:creator>
  <cp:lastModifiedBy>Marie-Paule Ogereau</cp:lastModifiedBy>
  <cp:revision>2</cp:revision>
  <dcterms:created xsi:type="dcterms:W3CDTF">2019-01-23T08:18:00Z</dcterms:created>
  <dcterms:modified xsi:type="dcterms:W3CDTF">2019-01-23T08:18:00Z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0x010100F2FD555B204A9341A8D22D756BDB1A4D</vt:lpwstr>
  </property>
</Properties>
</file>